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18" w:rsidRPr="00996916" w:rsidRDefault="007E7118" w:rsidP="007E7118">
      <w:pPr>
        <w:pStyle w:val="Bezodstpw"/>
      </w:pPr>
      <w:r w:rsidRPr="00996916">
        <w:t>Znak: OI.271.</w:t>
      </w:r>
      <w:r w:rsidR="00160AF6" w:rsidRPr="00996916">
        <w:t>7</w:t>
      </w:r>
      <w:r w:rsidRPr="00996916">
        <w:t>.202</w:t>
      </w:r>
      <w:r w:rsidR="00160AF6" w:rsidRPr="00996916">
        <w:t xml:space="preserve">3  </w:t>
      </w:r>
      <w:r w:rsidRPr="00996916">
        <w:tab/>
      </w:r>
      <w:r w:rsidRPr="00996916">
        <w:tab/>
        <w:t xml:space="preserve">                                         Dukla, dnia </w:t>
      </w:r>
      <w:r w:rsidR="00E60A89">
        <w:t>20</w:t>
      </w:r>
      <w:r w:rsidR="000D2981" w:rsidRPr="00996916">
        <w:t xml:space="preserve"> </w:t>
      </w:r>
      <w:r w:rsidR="00996916" w:rsidRPr="00996916">
        <w:t>kwietnia</w:t>
      </w:r>
      <w:r w:rsidRPr="00996916">
        <w:t xml:space="preserve"> 202</w:t>
      </w:r>
      <w:r w:rsidR="00996916" w:rsidRPr="00996916">
        <w:t>3</w:t>
      </w:r>
      <w:r w:rsidRPr="00996916">
        <w:t xml:space="preserve"> r.</w:t>
      </w:r>
    </w:p>
    <w:p w:rsidR="007E7118" w:rsidRPr="00996916" w:rsidRDefault="007E7118" w:rsidP="007E7118">
      <w:pPr>
        <w:pStyle w:val="Bezodstpw"/>
      </w:pPr>
    </w:p>
    <w:p w:rsidR="007E7118" w:rsidRPr="00996916" w:rsidRDefault="007E7118" w:rsidP="007E7118">
      <w:pPr>
        <w:pStyle w:val="Bezodstpw"/>
      </w:pPr>
    </w:p>
    <w:p w:rsidR="007E7118" w:rsidRPr="00996916" w:rsidRDefault="007E7118" w:rsidP="007E7118">
      <w:pPr>
        <w:pStyle w:val="Bezodstpw"/>
        <w:jc w:val="center"/>
        <w:rPr>
          <w:b/>
        </w:rPr>
      </w:pPr>
      <w:r w:rsidRPr="00996916">
        <w:rPr>
          <w:b/>
        </w:rPr>
        <w:t>Wg rozdzielnika</w:t>
      </w:r>
    </w:p>
    <w:p w:rsidR="007E7118" w:rsidRPr="00996916" w:rsidRDefault="007E7118" w:rsidP="007E7118">
      <w:pPr>
        <w:pStyle w:val="Bezodstpw"/>
        <w:rPr>
          <w:b/>
        </w:rPr>
      </w:pPr>
    </w:p>
    <w:p w:rsidR="007E7118" w:rsidRPr="00996916" w:rsidRDefault="007E7118" w:rsidP="00996916">
      <w:pPr>
        <w:pStyle w:val="Bezodstpw"/>
        <w:jc w:val="both"/>
        <w:rPr>
          <w:b/>
        </w:rPr>
      </w:pPr>
      <w:r w:rsidRPr="00996916">
        <w:t>Dotyczy  postępowania prowadzonego w trybie podstawowym na podstawie art.</w:t>
      </w:r>
      <w:r w:rsidR="00996916">
        <w:t xml:space="preserve"> </w:t>
      </w:r>
      <w:r w:rsidRPr="00996916">
        <w:t>275 ust. 1 Pzp:</w:t>
      </w:r>
      <w:r w:rsidRPr="00996916">
        <w:rPr>
          <w:b/>
        </w:rPr>
        <w:t xml:space="preserve"> </w:t>
      </w:r>
    </w:p>
    <w:p w:rsidR="002579A7" w:rsidRPr="00996916" w:rsidRDefault="002579A7" w:rsidP="002579A7">
      <w:pPr>
        <w:jc w:val="both"/>
      </w:pPr>
      <w:r w:rsidRPr="00996916">
        <w:rPr>
          <w:rFonts w:eastAsia="Calibri"/>
          <w:b/>
          <w:bCs/>
          <w:lang w:eastAsia="en-US"/>
        </w:rPr>
        <w:t>Udzielenie i obsługę długoterminowego kredytu do kwoty 9.450.000,00 zł na  sfinansowanie planowanego deficytu budżetowego Gminy Dukla na rok 2022 w wysokości 7.300.000,00 zł oraz na spłatę wcześniej zaciągniętych zobowiązań z tytułu zaciągniętych pożyczek i kredytów w kwocie 2.150.000,00 zł.</w:t>
      </w:r>
      <w:r w:rsidRPr="00996916">
        <w:t xml:space="preserve"> </w:t>
      </w:r>
    </w:p>
    <w:p w:rsidR="00622F90" w:rsidRPr="00996916" w:rsidRDefault="00622F90" w:rsidP="007E7118">
      <w:pPr>
        <w:pStyle w:val="Bezodstpw"/>
      </w:pPr>
    </w:p>
    <w:p w:rsidR="004D76A1" w:rsidRDefault="004D76A1" w:rsidP="00996916">
      <w:pPr>
        <w:pStyle w:val="Bezodstpw"/>
        <w:jc w:val="both"/>
      </w:pPr>
      <w:r w:rsidRPr="00996916">
        <w:t>W oparciu o art. 38 ust. 1 z dnia 29 stycznia 2004 r. Prawo zamówień publicznych                                    Zamawiający udziela odpowiedzi na pytania:</w:t>
      </w:r>
    </w:p>
    <w:p w:rsidR="00B4124C" w:rsidRDefault="00B4124C" w:rsidP="00B4124C">
      <w:pPr>
        <w:pStyle w:val="Bezodstpw"/>
        <w:jc w:val="both"/>
      </w:pPr>
      <w:r>
        <w:t>1) Prosimy o udostępnienie podpisanej wersji SWZ – wersja SWZ z popisem Zamawiającego znajduje się w aktach sprawy.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2) W ślad za zapisami SWZ pkt. 4 str. 11 prosimy o potwierdzenie, że wskazany termin wykonania zamówienia 31.12.2023 należy rozumieć jako ostateczny termin postawienia do dyspozycji/uruchomienia środków kredytowych?</w:t>
      </w:r>
      <w:r w:rsidR="004776A1">
        <w:t xml:space="preserve"> </w:t>
      </w:r>
      <w:r w:rsidR="004776A1">
        <w:rPr>
          <w:b/>
        </w:rPr>
        <w:t>TAK.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4) Czy jako okres kredytowania należy przyjąć okres od dnia podpisania umowy do 20.12.2037 r.?</w:t>
      </w:r>
      <w:r w:rsidR="004776A1">
        <w:t xml:space="preserve"> </w:t>
      </w:r>
      <w:r w:rsidR="004776A1">
        <w:rPr>
          <w:b/>
        </w:rPr>
        <w:t xml:space="preserve">TAK, JEST TO OSTATECZNY TERMIN SPŁATY KREDYTU, ZGODNIE </w:t>
      </w:r>
      <w:r w:rsidR="004F5E5F">
        <w:rPr>
          <w:b/>
        </w:rPr>
        <w:t xml:space="preserve">                             </w:t>
      </w:r>
      <w:r w:rsidR="004776A1">
        <w:rPr>
          <w:b/>
        </w:rPr>
        <w:t>Z TERMINARZEM SPŁAT.</w:t>
      </w:r>
    </w:p>
    <w:p w:rsidR="00B4124C" w:rsidRDefault="00B4124C" w:rsidP="00B4124C">
      <w:pPr>
        <w:pStyle w:val="Bezodstpw"/>
        <w:jc w:val="both"/>
      </w:pPr>
      <w:r>
        <w:t xml:space="preserve">5) W dokumencie ogłoszenie o zamówienia II.2.7 wskazano datę końca okresu obowiązywania zamówienia, umowy ramowej lub dynamicznego systemu zakupów 31.12.2023 prosimy </w:t>
      </w:r>
      <w:r w:rsidR="004F5E5F">
        <w:t xml:space="preserve">                        </w:t>
      </w:r>
      <w:r>
        <w:t>o korektę daty na 20.12.2037 r.</w:t>
      </w:r>
      <w:r w:rsidR="00E60A89">
        <w:t xml:space="preserve"> </w:t>
      </w:r>
      <w:r w:rsidR="004F5E5F">
        <w:t>– zapis prawidłowy.</w:t>
      </w:r>
    </w:p>
    <w:p w:rsidR="00B4124C" w:rsidRPr="00A54EF0" w:rsidRDefault="00B4124C" w:rsidP="00B4124C">
      <w:pPr>
        <w:pStyle w:val="Bezodstpw"/>
        <w:jc w:val="both"/>
        <w:rPr>
          <w:b/>
        </w:rPr>
      </w:pPr>
      <w:r>
        <w:t>5) Czy Zamawiający wyraża zgodę na następujący zapis w umowie kredytowej: „,Jeżeli termin spłaty kredytu przypada na dzień wolny od pracy uważa się, że termin został dotrzymany jeśli spłata nastąpiła w pierwszym dniu roboczym po tym terminie”</w:t>
      </w:r>
      <w:r w:rsidR="00A54EF0">
        <w:t xml:space="preserve"> </w:t>
      </w:r>
      <w:r w:rsidR="00A54EF0">
        <w:rPr>
          <w:b/>
        </w:rPr>
        <w:t>TAK.</w:t>
      </w:r>
    </w:p>
    <w:p w:rsidR="00B4124C" w:rsidRDefault="00B4124C" w:rsidP="00B4124C">
      <w:pPr>
        <w:pStyle w:val="Bezodstpw"/>
        <w:jc w:val="both"/>
      </w:pPr>
      <w:r>
        <w:t>6) Prosimy o weryfikację i korektę zapisów dot. dokumentów składanych na wezwanie - podmiotowych środków dowodowych, o których mowa na str. 20 SWZ - zwłaszcza pkt 1.1) dot. wpisu do rejestru działalności regulowanej wz. odbioru odpadów komunalnych od właścicieli nieruchomości – po korekcie SWZ dostępna na stronie prowadzonego postepowania.</w:t>
      </w:r>
    </w:p>
    <w:p w:rsidR="00B4124C" w:rsidRDefault="00B4124C" w:rsidP="00B4124C">
      <w:pPr>
        <w:pStyle w:val="Bezodstpw"/>
        <w:jc w:val="both"/>
      </w:pPr>
      <w:r>
        <w:t>8) Prosimy o weryfikację/korektę opisów załączników 3 i 4 do SWZ:</w:t>
      </w:r>
    </w:p>
    <w:p w:rsidR="00B4124C" w:rsidRDefault="00B4124C" w:rsidP="00B4124C">
      <w:pPr>
        <w:pStyle w:val="Bezodstpw"/>
        <w:jc w:val="both"/>
      </w:pPr>
      <w:r>
        <w:t>- w zał. nr 3 do SWZ wskazano błędny numer sprawy tj., nr OI.271.16.2021</w:t>
      </w:r>
    </w:p>
    <w:p w:rsidR="00B4124C" w:rsidRDefault="00B4124C" w:rsidP="00B4124C">
      <w:pPr>
        <w:pStyle w:val="Bezodstpw"/>
        <w:jc w:val="both"/>
      </w:pPr>
      <w:r>
        <w:t>- w zał. nr 4 do SWZ wskazano błędny numer sprawy tj., nr OI.271.12.2022</w:t>
      </w:r>
    </w:p>
    <w:p w:rsidR="00B4124C" w:rsidRDefault="00B4124C" w:rsidP="00B4124C">
      <w:pPr>
        <w:pStyle w:val="Bezodstpw"/>
        <w:jc w:val="both"/>
      </w:pPr>
      <w:r>
        <w:t>Prowadzone postępowanie przetargowe ma nr OI.271.7.2023 r., jest to oczywista omyłka pisarka nie ma wpływu na przebieg postępowania.</w:t>
      </w:r>
    </w:p>
    <w:p w:rsidR="00B4124C" w:rsidRDefault="00B4124C" w:rsidP="00B4124C">
      <w:pPr>
        <w:pStyle w:val="Bezodstpw"/>
        <w:jc w:val="both"/>
      </w:pPr>
      <w:r>
        <w:t xml:space="preserve">9) Prosimy o podanie jaki dokument stanowi załącznik nr 7 , gdyż występuje rozbieżność: zał. nr 7 w OPZ jest to identyfikator zamówienia, natomiast w SWZ pkt.16 Załączniki do SWZ -załącznik nr 7 „o braku okoliczności, o których mowa w art. 7 ust. 1 z dnia 13.04.2022r. – </w:t>
      </w:r>
      <w:r w:rsidR="004F5E5F">
        <w:t xml:space="preserve">                      </w:t>
      </w:r>
      <w:bookmarkStart w:id="0" w:name="_GoBack"/>
      <w:bookmarkEnd w:id="0"/>
      <w:r>
        <w:t>o szczególnych rozwiązaniach w zakresie przeciwdziałania wspieraniu agresji na Ukrainę oraz służących ochronie bezpieczeństwa narodowego”.  Jest to oczywista omyłka pisarka nie ma wpływu na przebieg postępowania.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10) W zał. nr 2 „Oferta przetargowa” wskazano aby dla porównywalności ofert przyjąć uruchomienie kredytu w 2 transzach zgodnie z tabelą, podczas gdy w tabeli wskazano trzy transze: 4 000 tys. zł., 4 200 tys. zł. i 3 520 tys. zł., prosimy o uzgodnienie</w:t>
      </w:r>
      <w:r w:rsidR="004776A1">
        <w:t xml:space="preserve"> </w:t>
      </w:r>
      <w:r w:rsidR="004776A1">
        <w:rPr>
          <w:b/>
        </w:rPr>
        <w:t>PRAWIDŁOWO MA BYĆ W 3 TRANSZACH.</w:t>
      </w:r>
    </w:p>
    <w:p w:rsidR="004776A1" w:rsidRPr="004776A1" w:rsidRDefault="00B4124C" w:rsidP="004776A1">
      <w:pPr>
        <w:pStyle w:val="Bezodstpw"/>
        <w:jc w:val="both"/>
        <w:rPr>
          <w:b/>
        </w:rPr>
      </w:pPr>
      <w:r>
        <w:t>11) Czy proponowane transze do oferty są wiążące do umowy? Czy też uruchomienie kredytu będzie dokonywane w transzach w miarę potrzeb Zamawiającego, przy jednoczesnym ustaleniu ostatecznego uruchomienia kredytu do 31.12.2023r.?</w:t>
      </w:r>
      <w:r w:rsidR="004776A1">
        <w:t xml:space="preserve"> </w:t>
      </w:r>
      <w:r w:rsidR="004776A1" w:rsidRPr="004776A1">
        <w:rPr>
          <w:b/>
        </w:rPr>
        <w:t xml:space="preserve">URUCHOMIENIE KREDYTU </w:t>
      </w:r>
      <w:r w:rsidR="004776A1" w:rsidRPr="004776A1">
        <w:rPr>
          <w:b/>
        </w:rPr>
        <w:lastRenderedPageBreak/>
        <w:t xml:space="preserve">BĘDZIE DOKONYWANE W TRANSZACH W MIARĘ POTRZEB ZAMAWIAJĄCEGO, PRZY JEDNOCZESNYM USTALENIU OSTATECZNEGO URUCHOMIENIA KREDYTU DO 31.12.2023R.? 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12) Czy kontrasygnata Skarbnika zostanie złożona na umowie, wekslu i deklaracji wekslowej?</w:t>
      </w:r>
      <w:r w:rsidR="004776A1">
        <w:t xml:space="preserve"> </w:t>
      </w:r>
      <w:r w:rsidR="004776A1">
        <w:rPr>
          <w:b/>
        </w:rPr>
        <w:t>TAK.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13) W związku z zastrzeżeniem niewykorzystania pełnej kwoty kredytu, prosimy o informację nt. minimalnej kwoty jaką Zamawiający zamierza wykorzystać?</w:t>
      </w:r>
      <w:r w:rsidR="004776A1">
        <w:t xml:space="preserve"> </w:t>
      </w:r>
      <w:r w:rsidR="004776A1">
        <w:rPr>
          <w:b/>
        </w:rPr>
        <w:t>ZAMAWIAJĄCY NIE JEST W STANIE TEGO PRZEWIDZIEĆ NA DZIEŃ UDZIELANIA ODPWOIEDZI.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14) Czy do wyliczenia odsetek zastosowanie ma kalendarz rzeczywisty tj. 365/366 dni ?</w:t>
      </w:r>
      <w:r w:rsidR="004776A1">
        <w:t xml:space="preserve"> </w:t>
      </w:r>
      <w:r w:rsidR="004776A1">
        <w:rPr>
          <w:b/>
        </w:rPr>
        <w:t>365 DNI.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15) Czy Zamawiający dopuszcza spłatę kapitału w racie balonowej tj. jednorazową spłatę na koniec okresu kredytowania ?</w:t>
      </w:r>
      <w:r w:rsidR="004776A1">
        <w:t xml:space="preserve"> </w:t>
      </w:r>
      <w:r w:rsidR="004776A1">
        <w:rPr>
          <w:b/>
        </w:rPr>
        <w:t>NIE.</w:t>
      </w:r>
    </w:p>
    <w:p w:rsidR="00B4124C" w:rsidRPr="004776A1" w:rsidRDefault="00B4124C" w:rsidP="00B4124C">
      <w:pPr>
        <w:pStyle w:val="Bezodstpw"/>
        <w:jc w:val="both"/>
        <w:rPr>
          <w:b/>
        </w:rPr>
      </w:pPr>
      <w:r>
        <w:t>16) W ślad za odpowiedzią nr 1 z 12.04.2023r, czy Zamawiający przewiduje wydłużenie okresu kredytowania?</w:t>
      </w:r>
      <w:r w:rsidR="004776A1">
        <w:t xml:space="preserve"> </w:t>
      </w:r>
      <w:r w:rsidR="004776A1">
        <w:rPr>
          <w:b/>
        </w:rPr>
        <w:t>NIE PRZEWIDUJE.</w:t>
      </w:r>
    </w:p>
    <w:p w:rsidR="00B4124C" w:rsidRDefault="00B4124C" w:rsidP="00B4124C">
      <w:pPr>
        <w:pStyle w:val="Bezodstpw"/>
        <w:jc w:val="both"/>
      </w:pPr>
      <w:r>
        <w:t>Jeżeli tak to czy Zamawiający wyraża zgodę, aby wydłużenie okresu kredytowania nastąpiło po:</w:t>
      </w:r>
    </w:p>
    <w:p w:rsidR="00B4124C" w:rsidRDefault="00B4124C" w:rsidP="00B4124C">
      <w:pPr>
        <w:pStyle w:val="Bezodstpw"/>
        <w:jc w:val="both"/>
      </w:pPr>
      <w:r>
        <w:t>-  dokonaniu pozytywnej oceny zdolności kredytowej</w:t>
      </w:r>
    </w:p>
    <w:p w:rsidR="00B4124C" w:rsidRDefault="00B4124C" w:rsidP="00B4124C">
      <w:pPr>
        <w:pStyle w:val="Bezodstpw"/>
        <w:jc w:val="both"/>
      </w:pPr>
      <w:r>
        <w:t>- przedłożeniu pozytywnej opinii RIO dotyczącej: możliwości sfinansowania deficytu przedstawionego w</w:t>
      </w:r>
    </w:p>
    <w:p w:rsidR="00B4124C" w:rsidRDefault="00B4124C" w:rsidP="00B4124C">
      <w:pPr>
        <w:pStyle w:val="Bezodstpw"/>
        <w:jc w:val="both"/>
      </w:pPr>
      <w:r>
        <w:t>Uchwale Budżetowej na dany rok (jeżeli wystąpienie deficytu jest planowane w danym okresie sprawozdawczym)</w:t>
      </w:r>
    </w:p>
    <w:p w:rsidR="00B4124C" w:rsidRDefault="00B4124C" w:rsidP="00B4124C">
      <w:pPr>
        <w:pStyle w:val="Bezodstpw"/>
        <w:jc w:val="both"/>
      </w:pPr>
      <w:r>
        <w:t>oraz prawidłowości planowanej kwoty długu, jak również aktualnej wieloletniej prognozy finansowej spełniającej</w:t>
      </w:r>
    </w:p>
    <w:p w:rsidR="00B4124C" w:rsidRDefault="00B4124C" w:rsidP="00B4124C">
      <w:pPr>
        <w:pStyle w:val="Bezodstpw"/>
        <w:jc w:val="both"/>
      </w:pPr>
      <w:r>
        <w:t>wskaźniki wymagane ustawą o finansach publicznych?</w:t>
      </w:r>
    </w:p>
    <w:p w:rsidR="00B4124C" w:rsidRDefault="00B4124C" w:rsidP="00B4124C">
      <w:pPr>
        <w:pStyle w:val="Bezodstpw"/>
        <w:jc w:val="both"/>
      </w:pPr>
      <w:r>
        <w:t>17) W ślad za odpowiedzią z 06.04.2023r. pytanie 10 : Czy Zamawiający wyraża zgodę na wprowadzenie umownego zapisu w postaci:</w:t>
      </w:r>
    </w:p>
    <w:p w:rsidR="00B4124C" w:rsidRDefault="00B4124C" w:rsidP="00B4124C">
      <w:pPr>
        <w:pStyle w:val="Bezodstpw"/>
        <w:jc w:val="both"/>
      </w:pPr>
      <w:r>
        <w:t>"W przypadku zaprzestania publikacji wskaźnika WIBOR, za porozumieniem stron, zastosowany zostanie</w:t>
      </w:r>
    </w:p>
    <w:p w:rsidR="00B4124C" w:rsidRDefault="00B4124C" w:rsidP="00B4124C">
      <w:pPr>
        <w:pStyle w:val="Bezodstpw"/>
        <w:jc w:val="both"/>
      </w:pPr>
      <w:r>
        <w:t>alternatywny wskaźnik oprocentowania."</w:t>
      </w:r>
    </w:p>
    <w:p w:rsidR="00A54EF0" w:rsidRPr="00A54EF0" w:rsidRDefault="00A54EF0" w:rsidP="00B4124C">
      <w:pPr>
        <w:pStyle w:val="Bezodstpw"/>
        <w:jc w:val="both"/>
        <w:rPr>
          <w:b/>
        </w:rPr>
      </w:pPr>
      <w:r>
        <w:rPr>
          <w:b/>
        </w:rPr>
        <w:t>ZAPIS JAK W UDZIELONEJ ODPWOIEDZI 06.04.2023 R.</w:t>
      </w:r>
    </w:p>
    <w:p w:rsidR="00B4124C" w:rsidRDefault="00B4124C" w:rsidP="00B4124C">
      <w:pPr>
        <w:pStyle w:val="Bezodstpw"/>
        <w:jc w:val="both"/>
      </w:pPr>
      <w:r>
        <w:t>18) na dzień 31.12.2022r. kwota należności wymagalnych wynosi 3,9 mln zł- prosimy                                o informację jakie działania egzekucyjne prowadzi Gmina celem ich wyegzekwowania</w:t>
      </w:r>
    </w:p>
    <w:p w:rsidR="00A54EF0" w:rsidRPr="00A54EF0" w:rsidRDefault="00A54EF0" w:rsidP="00B4124C">
      <w:pPr>
        <w:pStyle w:val="Bezodstpw"/>
        <w:jc w:val="both"/>
        <w:rPr>
          <w:b/>
        </w:rPr>
      </w:pPr>
      <w:r w:rsidRPr="00A54EF0">
        <w:rPr>
          <w:b/>
        </w:rPr>
        <w:t>NA BIEŻĄCO PROWADZONE SĄ</w:t>
      </w:r>
      <w:r>
        <w:rPr>
          <w:b/>
        </w:rPr>
        <w:t xml:space="preserve"> DZIAŁANIA EGZEKUCYJNE. W WIĘKSZOŚCI KWOTA NALEŻNOŚCI DOTYCZY ALIMENTÓW.</w:t>
      </w:r>
    </w:p>
    <w:p w:rsidR="00B4124C" w:rsidRPr="00996916" w:rsidRDefault="00B4124C" w:rsidP="00B4124C">
      <w:pPr>
        <w:pStyle w:val="Bezodstpw"/>
        <w:jc w:val="both"/>
      </w:pPr>
      <w:r>
        <w:t>19) W dniu 19.04.2023r. załączono poprawiony plik SWZ- prosimy o informację czego dotyczyły zmiany – zapisy wg pkt 6).</w:t>
      </w:r>
    </w:p>
    <w:p w:rsidR="00996916" w:rsidRPr="00996916" w:rsidRDefault="00996916" w:rsidP="0099691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</w:pPr>
    </w:p>
    <w:p w:rsidR="00C336B8" w:rsidRPr="00996916" w:rsidRDefault="00C336B8" w:rsidP="00183C89">
      <w:pPr>
        <w:jc w:val="both"/>
      </w:pPr>
    </w:p>
    <w:p w:rsidR="00183C89" w:rsidRPr="00996916" w:rsidRDefault="00183C89" w:rsidP="00183C89">
      <w:pPr>
        <w:jc w:val="both"/>
      </w:pPr>
    </w:p>
    <w:p w:rsidR="000D2981" w:rsidRPr="00996916" w:rsidRDefault="000D2981" w:rsidP="000D2981">
      <w:r w:rsidRPr="00996916">
        <w:t>a/a</w:t>
      </w:r>
    </w:p>
    <w:sectPr w:rsidR="000D2981" w:rsidRPr="0099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>
      <w:start w:val="1"/>
      <w:numFmt w:val="lowerLetter"/>
      <w:lvlText w:val="%2."/>
      <w:lvlJc w:val="left"/>
      <w:pPr>
        <w:ind w:left="2197" w:hanging="360"/>
      </w:pPr>
    </w:lvl>
    <w:lvl w:ilvl="2" w:tplc="0415001B">
      <w:start w:val="1"/>
      <w:numFmt w:val="lowerRoman"/>
      <w:lvlText w:val="%3."/>
      <w:lvlJc w:val="right"/>
      <w:pPr>
        <w:ind w:left="2917" w:hanging="180"/>
      </w:pPr>
    </w:lvl>
    <w:lvl w:ilvl="3" w:tplc="0415000F">
      <w:start w:val="1"/>
      <w:numFmt w:val="decimal"/>
      <w:lvlText w:val="%4."/>
      <w:lvlJc w:val="left"/>
      <w:pPr>
        <w:ind w:left="3637" w:hanging="360"/>
      </w:pPr>
    </w:lvl>
    <w:lvl w:ilvl="4" w:tplc="04150019">
      <w:start w:val="1"/>
      <w:numFmt w:val="lowerLetter"/>
      <w:lvlText w:val="%5."/>
      <w:lvlJc w:val="left"/>
      <w:pPr>
        <w:ind w:left="4357" w:hanging="360"/>
      </w:pPr>
    </w:lvl>
    <w:lvl w:ilvl="5" w:tplc="0415001B">
      <w:start w:val="1"/>
      <w:numFmt w:val="lowerRoman"/>
      <w:lvlText w:val="%6."/>
      <w:lvlJc w:val="right"/>
      <w:pPr>
        <w:ind w:left="5077" w:hanging="180"/>
      </w:pPr>
    </w:lvl>
    <w:lvl w:ilvl="6" w:tplc="0415000F">
      <w:start w:val="1"/>
      <w:numFmt w:val="decimal"/>
      <w:lvlText w:val="%7."/>
      <w:lvlJc w:val="left"/>
      <w:pPr>
        <w:ind w:left="5797" w:hanging="360"/>
      </w:pPr>
    </w:lvl>
    <w:lvl w:ilvl="7" w:tplc="04150019">
      <w:start w:val="1"/>
      <w:numFmt w:val="lowerLetter"/>
      <w:lvlText w:val="%8."/>
      <w:lvlJc w:val="left"/>
      <w:pPr>
        <w:ind w:left="6517" w:hanging="360"/>
      </w:pPr>
    </w:lvl>
    <w:lvl w:ilvl="8" w:tplc="0415001B">
      <w:start w:val="1"/>
      <w:numFmt w:val="lowerRoman"/>
      <w:lvlText w:val="%9."/>
      <w:lvlJc w:val="right"/>
      <w:pPr>
        <w:ind w:left="7237" w:hanging="180"/>
      </w:pPr>
    </w:lvl>
  </w:abstractNum>
  <w:abstractNum w:abstractNumId="3">
    <w:nsid w:val="1C3D76B0"/>
    <w:multiLevelType w:val="hybridMultilevel"/>
    <w:tmpl w:val="0AB2B614"/>
    <w:lvl w:ilvl="0" w:tplc="04150011">
      <w:start w:val="1"/>
      <w:numFmt w:val="decimal"/>
      <w:lvlText w:val="%1)"/>
      <w:lvlJc w:val="left"/>
      <w:pPr>
        <w:ind w:left="1482" w:hanging="360"/>
      </w:pPr>
    </w:lvl>
    <w:lvl w:ilvl="1" w:tplc="04150019">
      <w:start w:val="1"/>
      <w:numFmt w:val="lowerLetter"/>
      <w:lvlText w:val="%2."/>
      <w:lvlJc w:val="left"/>
      <w:pPr>
        <w:ind w:left="2202" w:hanging="360"/>
      </w:pPr>
    </w:lvl>
    <w:lvl w:ilvl="2" w:tplc="0415001B">
      <w:start w:val="1"/>
      <w:numFmt w:val="lowerRoman"/>
      <w:lvlText w:val="%3."/>
      <w:lvlJc w:val="right"/>
      <w:pPr>
        <w:ind w:left="2922" w:hanging="180"/>
      </w:pPr>
    </w:lvl>
    <w:lvl w:ilvl="3" w:tplc="0415000F">
      <w:start w:val="1"/>
      <w:numFmt w:val="decimal"/>
      <w:lvlText w:val="%4."/>
      <w:lvlJc w:val="left"/>
      <w:pPr>
        <w:ind w:left="3642" w:hanging="360"/>
      </w:pPr>
    </w:lvl>
    <w:lvl w:ilvl="4" w:tplc="04150019">
      <w:start w:val="1"/>
      <w:numFmt w:val="lowerLetter"/>
      <w:lvlText w:val="%5."/>
      <w:lvlJc w:val="left"/>
      <w:pPr>
        <w:ind w:left="4362" w:hanging="360"/>
      </w:pPr>
    </w:lvl>
    <w:lvl w:ilvl="5" w:tplc="0415001B">
      <w:start w:val="1"/>
      <w:numFmt w:val="lowerRoman"/>
      <w:lvlText w:val="%6."/>
      <w:lvlJc w:val="right"/>
      <w:pPr>
        <w:ind w:left="5082" w:hanging="180"/>
      </w:pPr>
    </w:lvl>
    <w:lvl w:ilvl="6" w:tplc="0415000F">
      <w:start w:val="1"/>
      <w:numFmt w:val="decimal"/>
      <w:lvlText w:val="%7."/>
      <w:lvlJc w:val="left"/>
      <w:pPr>
        <w:ind w:left="5802" w:hanging="360"/>
      </w:pPr>
    </w:lvl>
    <w:lvl w:ilvl="7" w:tplc="04150019">
      <w:start w:val="1"/>
      <w:numFmt w:val="lowerLetter"/>
      <w:lvlText w:val="%8."/>
      <w:lvlJc w:val="left"/>
      <w:pPr>
        <w:ind w:left="6522" w:hanging="360"/>
      </w:pPr>
    </w:lvl>
    <w:lvl w:ilvl="8" w:tplc="0415001B">
      <w:start w:val="1"/>
      <w:numFmt w:val="lowerRoman"/>
      <w:lvlText w:val="%9."/>
      <w:lvlJc w:val="right"/>
      <w:pPr>
        <w:ind w:left="7242" w:hanging="180"/>
      </w:pPr>
    </w:lvl>
  </w:abstractNum>
  <w:abstractNum w:abstractNumId="4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5">
    <w:nsid w:val="329B2E2C"/>
    <w:multiLevelType w:val="hybridMultilevel"/>
    <w:tmpl w:val="017419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512C8F"/>
    <w:multiLevelType w:val="hybridMultilevel"/>
    <w:tmpl w:val="75EA217C"/>
    <w:lvl w:ilvl="0" w:tplc="695A2E26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A6A1F8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>
      <w:start w:val="1"/>
      <w:numFmt w:val="lowerLetter"/>
      <w:lvlText w:val="%2."/>
      <w:lvlJc w:val="left"/>
      <w:pPr>
        <w:ind w:left="2202" w:hanging="360"/>
      </w:pPr>
    </w:lvl>
    <w:lvl w:ilvl="2" w:tplc="0415001B">
      <w:start w:val="1"/>
      <w:numFmt w:val="lowerRoman"/>
      <w:lvlText w:val="%3."/>
      <w:lvlJc w:val="right"/>
      <w:pPr>
        <w:ind w:left="2922" w:hanging="180"/>
      </w:pPr>
    </w:lvl>
    <w:lvl w:ilvl="3" w:tplc="0415000F">
      <w:start w:val="1"/>
      <w:numFmt w:val="decimal"/>
      <w:lvlText w:val="%4."/>
      <w:lvlJc w:val="left"/>
      <w:pPr>
        <w:ind w:left="3642" w:hanging="360"/>
      </w:pPr>
    </w:lvl>
    <w:lvl w:ilvl="4" w:tplc="04150019">
      <w:start w:val="1"/>
      <w:numFmt w:val="lowerLetter"/>
      <w:lvlText w:val="%5."/>
      <w:lvlJc w:val="left"/>
      <w:pPr>
        <w:ind w:left="4362" w:hanging="360"/>
      </w:pPr>
    </w:lvl>
    <w:lvl w:ilvl="5" w:tplc="0415001B">
      <w:start w:val="1"/>
      <w:numFmt w:val="lowerRoman"/>
      <w:lvlText w:val="%6."/>
      <w:lvlJc w:val="right"/>
      <w:pPr>
        <w:ind w:left="5082" w:hanging="180"/>
      </w:pPr>
    </w:lvl>
    <w:lvl w:ilvl="6" w:tplc="0415000F">
      <w:start w:val="1"/>
      <w:numFmt w:val="decimal"/>
      <w:lvlText w:val="%7."/>
      <w:lvlJc w:val="left"/>
      <w:pPr>
        <w:ind w:left="5802" w:hanging="360"/>
      </w:pPr>
    </w:lvl>
    <w:lvl w:ilvl="7" w:tplc="04150019">
      <w:start w:val="1"/>
      <w:numFmt w:val="lowerLetter"/>
      <w:lvlText w:val="%8."/>
      <w:lvlJc w:val="left"/>
      <w:pPr>
        <w:ind w:left="6522" w:hanging="360"/>
      </w:pPr>
    </w:lvl>
    <w:lvl w:ilvl="8" w:tplc="0415001B">
      <w:start w:val="1"/>
      <w:numFmt w:val="lowerRoman"/>
      <w:lvlText w:val="%9."/>
      <w:lvlJc w:val="right"/>
      <w:pPr>
        <w:ind w:left="7242" w:hanging="180"/>
      </w:pPr>
    </w:lvl>
  </w:abstractNum>
  <w:abstractNum w:abstractNumId="9">
    <w:nsid w:val="58D70846"/>
    <w:multiLevelType w:val="hybridMultilevel"/>
    <w:tmpl w:val="5E264CC0"/>
    <w:lvl w:ilvl="0" w:tplc="D032B2A8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41E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D5729E"/>
    <w:multiLevelType w:val="hybridMultilevel"/>
    <w:tmpl w:val="AF607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F1115"/>
    <w:multiLevelType w:val="hybridMultilevel"/>
    <w:tmpl w:val="F9C48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8276E"/>
    <w:multiLevelType w:val="hybridMultilevel"/>
    <w:tmpl w:val="8A94E83E"/>
    <w:lvl w:ilvl="0" w:tplc="695A2E26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A4F10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480FCE"/>
    <w:multiLevelType w:val="hybridMultilevel"/>
    <w:tmpl w:val="ED881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10EC4"/>
    <w:multiLevelType w:val="hybridMultilevel"/>
    <w:tmpl w:val="DA7A2B9C"/>
    <w:lvl w:ilvl="0" w:tplc="FEFA42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D"/>
    <w:rsid w:val="00021A6B"/>
    <w:rsid w:val="000D2981"/>
    <w:rsid w:val="00155078"/>
    <w:rsid w:val="00160AF6"/>
    <w:rsid w:val="001755CD"/>
    <w:rsid w:val="00183C89"/>
    <w:rsid w:val="00205B4F"/>
    <w:rsid w:val="002579A7"/>
    <w:rsid w:val="003333BD"/>
    <w:rsid w:val="003C18DA"/>
    <w:rsid w:val="00420663"/>
    <w:rsid w:val="004776A1"/>
    <w:rsid w:val="004854C6"/>
    <w:rsid w:val="004D76A1"/>
    <w:rsid w:val="004F5E5F"/>
    <w:rsid w:val="00515470"/>
    <w:rsid w:val="005A34AB"/>
    <w:rsid w:val="00622F90"/>
    <w:rsid w:val="00633FA9"/>
    <w:rsid w:val="00636597"/>
    <w:rsid w:val="006A58EF"/>
    <w:rsid w:val="0077797D"/>
    <w:rsid w:val="007E7118"/>
    <w:rsid w:val="00805DB7"/>
    <w:rsid w:val="008903E2"/>
    <w:rsid w:val="00895C9D"/>
    <w:rsid w:val="008A1E8B"/>
    <w:rsid w:val="00996916"/>
    <w:rsid w:val="00A06D28"/>
    <w:rsid w:val="00A11105"/>
    <w:rsid w:val="00A54EF0"/>
    <w:rsid w:val="00AB7EF8"/>
    <w:rsid w:val="00B03D15"/>
    <w:rsid w:val="00B4124C"/>
    <w:rsid w:val="00B61E8A"/>
    <w:rsid w:val="00B76398"/>
    <w:rsid w:val="00C04F7D"/>
    <w:rsid w:val="00C336B8"/>
    <w:rsid w:val="00C41740"/>
    <w:rsid w:val="00C76468"/>
    <w:rsid w:val="00C975FE"/>
    <w:rsid w:val="00CE1418"/>
    <w:rsid w:val="00DF57EA"/>
    <w:rsid w:val="00E02E65"/>
    <w:rsid w:val="00E60A89"/>
    <w:rsid w:val="00F6034F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9AC8-4D58-407E-88A2-01A2A000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1105"/>
    <w:pPr>
      <w:keepNext/>
      <w:spacing w:before="120"/>
      <w:jc w:val="center"/>
      <w:outlineLvl w:val="1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11105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A11105"/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4854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28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1A6B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locked/>
    <w:rsid w:val="009969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Maria Chlap</cp:lastModifiedBy>
  <cp:revision>5</cp:revision>
  <cp:lastPrinted>2022-07-07T12:08:00Z</cp:lastPrinted>
  <dcterms:created xsi:type="dcterms:W3CDTF">2023-04-20T09:41:00Z</dcterms:created>
  <dcterms:modified xsi:type="dcterms:W3CDTF">2023-04-20T10:11:00Z</dcterms:modified>
</cp:coreProperties>
</file>