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028B" w14:textId="19AC731B" w:rsidR="00340E95" w:rsidRDefault="00CD53CC" w:rsidP="00CD53CC">
      <w:pPr>
        <w:rPr>
          <w:rStyle w:val="fontstyle21"/>
        </w:rPr>
      </w:pPr>
      <w:r>
        <w:rPr>
          <w:rStyle w:val="fontstyle01"/>
        </w:rPr>
        <w:t>Znak: I.271.</w:t>
      </w:r>
      <w:r w:rsidR="00607669">
        <w:rPr>
          <w:rStyle w:val="fontstyle01"/>
        </w:rPr>
        <w:t>10</w:t>
      </w:r>
      <w:r w:rsidR="00251612">
        <w:rPr>
          <w:rStyle w:val="fontstyle01"/>
        </w:rPr>
        <w:t>.202</w:t>
      </w:r>
      <w:r w:rsidR="00862B6A">
        <w:rPr>
          <w:rStyle w:val="fontstyle01"/>
        </w:rPr>
        <w:t>5</w:t>
      </w:r>
      <w:r w:rsidR="00251612">
        <w:rPr>
          <w:rStyle w:val="fontstyle01"/>
        </w:rPr>
        <w:t xml:space="preserve"> </w:t>
      </w:r>
      <w:r w:rsidR="00251612">
        <w:rPr>
          <w:rStyle w:val="fontstyle01"/>
        </w:rPr>
        <w:tab/>
      </w:r>
      <w:r w:rsidR="00251612">
        <w:rPr>
          <w:rStyle w:val="fontstyle01"/>
        </w:rPr>
        <w:tab/>
      </w:r>
      <w:r w:rsidR="00251612">
        <w:rPr>
          <w:rStyle w:val="fontstyle01"/>
        </w:rPr>
        <w:tab/>
      </w:r>
      <w:r w:rsidR="00251612">
        <w:rPr>
          <w:rStyle w:val="fontstyle01"/>
        </w:rPr>
        <w:tab/>
      </w:r>
      <w:r w:rsidR="00251612">
        <w:rPr>
          <w:rStyle w:val="fontstyle01"/>
        </w:rPr>
        <w:tab/>
      </w:r>
      <w:r w:rsidR="00862B6A">
        <w:rPr>
          <w:rStyle w:val="fontstyle01"/>
        </w:rPr>
        <w:tab/>
      </w:r>
      <w:r w:rsidR="00862B6A">
        <w:rPr>
          <w:rStyle w:val="fontstyle01"/>
        </w:rPr>
        <w:tab/>
      </w:r>
      <w:r w:rsidR="00C00E9C">
        <w:rPr>
          <w:rStyle w:val="fontstyle01"/>
        </w:rPr>
        <w:t xml:space="preserve">Dukla, dnia </w:t>
      </w:r>
      <w:r w:rsidR="00607669">
        <w:rPr>
          <w:rStyle w:val="fontstyle01"/>
        </w:rPr>
        <w:t>10</w:t>
      </w:r>
      <w:r w:rsidR="00CE40DC">
        <w:rPr>
          <w:rStyle w:val="fontstyle01"/>
        </w:rPr>
        <w:t>.0</w:t>
      </w:r>
      <w:r w:rsidR="00607669">
        <w:rPr>
          <w:rStyle w:val="fontstyle01"/>
        </w:rPr>
        <w:t>7</w:t>
      </w:r>
      <w:r w:rsidR="00CE40DC">
        <w:rPr>
          <w:rStyle w:val="fontstyle01"/>
        </w:rPr>
        <w:t>.</w:t>
      </w:r>
      <w:r w:rsidR="00340E95">
        <w:rPr>
          <w:rStyle w:val="fontstyle01"/>
        </w:rPr>
        <w:t>202</w:t>
      </w:r>
      <w:r w:rsidR="00862B6A">
        <w:rPr>
          <w:rStyle w:val="fontstyle01"/>
        </w:rPr>
        <w:t>5</w:t>
      </w:r>
      <w:r w:rsidR="00340E95">
        <w:rPr>
          <w:rStyle w:val="fontstyle01"/>
        </w:rPr>
        <w:t xml:space="preserve"> r.</w:t>
      </w:r>
      <w:r w:rsidR="00340E95">
        <w:rPr>
          <w:rFonts w:ascii="TimesNewRomanPSMT" w:hAnsi="TimesNewRomanPSMT"/>
          <w:color w:val="000000"/>
        </w:rPr>
        <w:br/>
      </w:r>
    </w:p>
    <w:p w14:paraId="6F2156A6" w14:textId="77777777" w:rsidR="009A6220" w:rsidRDefault="009A6220" w:rsidP="00340E95">
      <w:pPr>
        <w:jc w:val="center"/>
        <w:rPr>
          <w:rStyle w:val="fontstyle21"/>
        </w:rPr>
      </w:pPr>
    </w:p>
    <w:p w14:paraId="6D061B6F" w14:textId="77777777" w:rsidR="00340E95" w:rsidRDefault="00340E95" w:rsidP="00340E95">
      <w:pPr>
        <w:jc w:val="center"/>
        <w:rPr>
          <w:rStyle w:val="fontstyle21"/>
        </w:rPr>
      </w:pPr>
      <w:r>
        <w:rPr>
          <w:rStyle w:val="fontstyle21"/>
        </w:rPr>
        <w:t>Wg rozdzielnika</w:t>
      </w:r>
    </w:p>
    <w:p w14:paraId="1E57585A" w14:textId="77777777" w:rsidR="009A6220" w:rsidRDefault="009A6220" w:rsidP="00340E95">
      <w:pPr>
        <w:jc w:val="center"/>
        <w:rPr>
          <w:rStyle w:val="fontstyle21"/>
        </w:rPr>
      </w:pPr>
    </w:p>
    <w:p w14:paraId="17E5453F" w14:textId="77777777" w:rsidR="00340E95" w:rsidRDefault="00340E95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Dotyczy postępowania prowadzonego w trybie podstawowym na podstawie art. 275 pkt 1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ustawy Prawo Zamówień Publicznych:</w:t>
      </w:r>
    </w:p>
    <w:p w14:paraId="519E3F7A" w14:textId="77777777" w:rsidR="00191AD0" w:rsidRDefault="00191AD0">
      <w:pPr>
        <w:rPr>
          <w:rStyle w:val="fontstyle01"/>
        </w:rPr>
      </w:pPr>
    </w:p>
    <w:p w14:paraId="1BB67B6B" w14:textId="42A9741D" w:rsidR="00607669" w:rsidRDefault="00607669" w:rsidP="00607669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607669">
        <w:rPr>
          <w:rFonts w:ascii="TimesNewRomanPS-BoldMT" w:hAnsi="TimesNewRomanPS-BoldMT"/>
          <w:b/>
          <w:bCs/>
          <w:color w:val="000000"/>
        </w:rPr>
        <w:t xml:space="preserve">„Modernizacja boiska piłkarskiego przy Szkole Podstawowej i Liceum Ogólnokształcącym </w:t>
      </w:r>
      <w:r>
        <w:rPr>
          <w:rFonts w:ascii="TimesNewRomanPS-BoldMT" w:hAnsi="TimesNewRomanPS-BoldMT"/>
          <w:b/>
          <w:bCs/>
          <w:color w:val="000000"/>
        </w:rPr>
        <w:br/>
      </w:r>
      <w:r w:rsidRPr="00607669">
        <w:rPr>
          <w:rFonts w:ascii="TimesNewRomanPS-BoldMT" w:hAnsi="TimesNewRomanPS-BoldMT"/>
          <w:b/>
          <w:bCs/>
          <w:color w:val="000000"/>
        </w:rPr>
        <w:t>w Dukli”</w:t>
      </w:r>
    </w:p>
    <w:p w14:paraId="5077F8D3" w14:textId="5AA2341F" w:rsidR="00CE40DC" w:rsidRDefault="00340E95" w:rsidP="001508BE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Na podstawie art. 135 ust. 2 ustawy Prawo zamówień publicznych z dnia 11 września 2019 r.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– Prawo zamówień publicznych Zamawiający udziela odpowiedzi na pytanie:</w:t>
      </w:r>
    </w:p>
    <w:p w14:paraId="2ADD11C2" w14:textId="77777777" w:rsidR="00607669" w:rsidRPr="006E6601" w:rsidRDefault="00340E95" w:rsidP="00607669">
      <w:pPr>
        <w:jc w:val="both"/>
        <w:rPr>
          <w:i/>
          <w:iCs/>
        </w:rPr>
      </w:pPr>
      <w:r>
        <w:rPr>
          <w:rFonts w:ascii="TimesNewRomanPSMT" w:hAnsi="TimesNewRomanPSMT"/>
          <w:color w:val="000000"/>
        </w:rPr>
        <w:br/>
      </w:r>
      <w:r w:rsidR="002A1035" w:rsidRPr="001508BE">
        <w:rPr>
          <w:b/>
          <w:bCs/>
          <w:u w:val="single"/>
        </w:rPr>
        <w:t>Pytanie 1</w:t>
      </w:r>
      <w:r w:rsidR="00607669">
        <w:rPr>
          <w:b/>
          <w:bCs/>
          <w:i/>
          <w:iCs/>
        </w:rPr>
        <w:t xml:space="preserve">. </w:t>
      </w:r>
      <w:r w:rsidR="00607669" w:rsidRPr="006E6601">
        <w:rPr>
          <w:i/>
          <w:iCs/>
        </w:rPr>
        <w:t xml:space="preserve">Prosimy o dopuszczenie do postępowania trawy na podkładzie lateksowym. </w:t>
      </w:r>
    </w:p>
    <w:p w14:paraId="7DFF0FF2" w14:textId="77777777" w:rsidR="00607669" w:rsidRPr="006E6601" w:rsidRDefault="00607669" w:rsidP="00607669">
      <w:pPr>
        <w:jc w:val="both"/>
        <w:rPr>
          <w:i/>
          <w:iCs/>
        </w:rPr>
      </w:pPr>
      <w:r w:rsidRPr="006E6601">
        <w:rPr>
          <w:i/>
          <w:iCs/>
        </w:rPr>
        <w:t xml:space="preserve">Rodzaj zastosowanego podkładu nie ma wpływu na jakość nawierzchni, podkład poliuretanowy i lateksowy są rozwiązaniami równoważnymi. Według wytycznych </w:t>
      </w:r>
      <w:proofErr w:type="spellStart"/>
      <w:r w:rsidRPr="006E6601">
        <w:rPr>
          <w:i/>
          <w:iCs/>
        </w:rPr>
        <w:t>Fifa</w:t>
      </w:r>
      <w:proofErr w:type="spellEnd"/>
      <w:r w:rsidRPr="006E6601">
        <w:rPr>
          <w:i/>
          <w:iCs/>
        </w:rPr>
        <w:t xml:space="preserve"> oraz Instytutu Techniki Budowlanej właściwości uznawane za kluczowe podczas identyfikacji wykładziny z traw syntetycznych są: wysokość włókna, gęstość włókien, </w:t>
      </w:r>
      <w:proofErr w:type="spellStart"/>
      <w:r w:rsidRPr="006E6601">
        <w:rPr>
          <w:i/>
          <w:iCs/>
        </w:rPr>
        <w:t>dtex</w:t>
      </w:r>
      <w:proofErr w:type="spellEnd"/>
      <w:r w:rsidRPr="006E6601">
        <w:rPr>
          <w:i/>
          <w:iCs/>
        </w:rPr>
        <w:t xml:space="preserve"> czy grubość włókna. Zaznaczamy, że większość traw produkowanych metodą </w:t>
      </w:r>
      <w:proofErr w:type="spellStart"/>
      <w:r w:rsidRPr="006E6601">
        <w:rPr>
          <w:i/>
          <w:iCs/>
        </w:rPr>
        <w:t>tuftowania</w:t>
      </w:r>
      <w:proofErr w:type="spellEnd"/>
      <w:r w:rsidRPr="006E6601">
        <w:rPr>
          <w:i/>
          <w:iCs/>
        </w:rPr>
        <w:t xml:space="preserve"> produkuje się na podkładzie lateksowym. Ponadto trawy na podkładzie lateksowym uzyskują dokumenty wydane przez laboratoria, które potwierdzają, że nadają się do recyklingu. Trawy na podkładzie lateksowym uzyskują Atesty PZH a tym samym są dopuszczone do użytku i potwierdzają, że są produktem bezpiecznym. Dodatkowo podkład przeszedł liczne badania i uzyskał liczne raporty na zgodność z FIFA oraz z normą EN 15330-1, co również potwierdza, że trawy na podkładzie lateksowym można stosować na boiskach. Wiele z tych boisk uzyskało certyfikaty FIFA.  Podkład lateksowy lub poliuretanowy ma tylko za zadanie zabezpieczyć włókna runa przed przemieszczeniem się.</w:t>
      </w:r>
    </w:p>
    <w:p w14:paraId="77870E5C" w14:textId="3D13BA44" w:rsidR="00CE40DC" w:rsidRPr="006E6601" w:rsidRDefault="00607669" w:rsidP="00607669">
      <w:pPr>
        <w:jc w:val="both"/>
        <w:rPr>
          <w:i/>
          <w:iCs/>
        </w:rPr>
      </w:pPr>
      <w:r w:rsidRPr="006E6601">
        <w:rPr>
          <w:i/>
          <w:iCs/>
        </w:rPr>
        <w:t xml:space="preserve">Poniżej pismo z akredytowanego przez </w:t>
      </w:r>
      <w:proofErr w:type="spellStart"/>
      <w:r w:rsidRPr="006E6601">
        <w:rPr>
          <w:i/>
          <w:iCs/>
        </w:rPr>
        <w:t>Fifa</w:t>
      </w:r>
      <w:proofErr w:type="spellEnd"/>
      <w:r w:rsidRPr="006E6601">
        <w:rPr>
          <w:i/>
          <w:iCs/>
        </w:rPr>
        <w:t xml:space="preserve"> laboratorium potwierdzające powyższy wniosek:</w:t>
      </w:r>
    </w:p>
    <w:p w14:paraId="2572B8B6" w14:textId="53DC56B6" w:rsidR="00607669" w:rsidRPr="006E6601" w:rsidRDefault="006E6601" w:rsidP="009D55F4">
      <w:pPr>
        <w:tabs>
          <w:tab w:val="num" w:pos="735"/>
        </w:tabs>
        <w:spacing w:line="276" w:lineRule="auto"/>
        <w:ind w:left="51"/>
      </w:pPr>
      <w:bookmarkStart w:id="0" w:name="_Hlk196466295"/>
      <w:r w:rsidRPr="006E6601">
        <w:rPr>
          <w:noProof/>
        </w:rPr>
        <w:drawing>
          <wp:inline distT="0" distB="0" distL="0" distR="0" wp14:anchorId="694406C7" wp14:editId="3D3CD152">
            <wp:extent cx="4143375" cy="1962651"/>
            <wp:effectExtent l="0" t="0" r="0" b="0"/>
            <wp:docPr id="7634304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713" cy="196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E189F" w14:textId="77777777" w:rsidR="006E6601" w:rsidRDefault="006E6601" w:rsidP="009D55F4">
      <w:pPr>
        <w:tabs>
          <w:tab w:val="num" w:pos="735"/>
        </w:tabs>
        <w:spacing w:line="276" w:lineRule="auto"/>
        <w:ind w:left="51"/>
      </w:pPr>
    </w:p>
    <w:p w14:paraId="7A94CA60" w14:textId="3802178C" w:rsidR="006E6601" w:rsidRPr="006E6601" w:rsidRDefault="006E6601" w:rsidP="009D55F4">
      <w:pPr>
        <w:tabs>
          <w:tab w:val="num" w:pos="735"/>
        </w:tabs>
        <w:spacing w:line="276" w:lineRule="auto"/>
        <w:ind w:left="51"/>
      </w:pPr>
      <w:r w:rsidRPr="006E6601">
        <w:lastRenderedPageBreak/>
        <w:t xml:space="preserve">Mając powyższe na uwadze wnosimy o dopuszczenie do przetargu traw </w:t>
      </w:r>
      <w:proofErr w:type="spellStart"/>
      <w:r w:rsidRPr="006E6601">
        <w:t>tuftowanych</w:t>
      </w:r>
      <w:proofErr w:type="spellEnd"/>
      <w:r w:rsidRPr="006E6601">
        <w:t xml:space="preserve"> na podkładzie lateksowym.  </w:t>
      </w:r>
    </w:p>
    <w:p w14:paraId="34966BCD" w14:textId="5092215E" w:rsidR="009D55F4" w:rsidRPr="00D515E9" w:rsidRDefault="00862B6A" w:rsidP="006E6601">
      <w:pPr>
        <w:tabs>
          <w:tab w:val="num" w:pos="735"/>
        </w:tabs>
        <w:spacing w:line="276" w:lineRule="auto"/>
        <w:rPr>
          <w:b/>
          <w:bCs/>
          <w:sz w:val="24"/>
          <w:szCs w:val="24"/>
        </w:rPr>
      </w:pPr>
      <w:r w:rsidRPr="00862B6A">
        <w:rPr>
          <w:b/>
          <w:bCs/>
        </w:rPr>
        <w:t>Odpowiedź</w:t>
      </w:r>
      <w:r w:rsidRPr="006E6601">
        <w:t>:</w:t>
      </w:r>
      <w:bookmarkEnd w:id="0"/>
      <w:r w:rsidRPr="006E6601">
        <w:t xml:space="preserve"> </w:t>
      </w:r>
      <w:r w:rsidR="006E6601" w:rsidRPr="006E6601">
        <w:t xml:space="preserve"> </w:t>
      </w:r>
      <w:r w:rsidR="006E6601" w:rsidRPr="006E6601">
        <w:rPr>
          <w:b/>
          <w:bCs/>
        </w:rPr>
        <w:t>Zamawiający utrzymuje minimalny wymóg parametrów trawy zgodnie  z dokumentacją załączoną do postępowania przetargowego.</w:t>
      </w:r>
    </w:p>
    <w:p w14:paraId="4D2DA3CE" w14:textId="77777777" w:rsidR="00CE40DC" w:rsidRDefault="00CE40DC" w:rsidP="00862B6A"/>
    <w:p w14:paraId="043E4E4B" w14:textId="77777777" w:rsidR="006E6601" w:rsidRPr="006E6601" w:rsidRDefault="00CE40DC" w:rsidP="006E6601">
      <w:pPr>
        <w:jc w:val="both"/>
        <w:rPr>
          <w:i/>
          <w:iCs/>
        </w:rPr>
      </w:pPr>
      <w:r w:rsidRPr="001508BE">
        <w:rPr>
          <w:b/>
          <w:bCs/>
          <w:u w:val="single"/>
        </w:rPr>
        <w:t>Pytanie 2</w:t>
      </w:r>
      <w:r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 w:rsidR="006E6601" w:rsidRPr="006E6601">
        <w:rPr>
          <w:i/>
          <w:iCs/>
        </w:rPr>
        <w:t xml:space="preserve">Prosimy o dopuszczenie do przetargu na boisko do piłki nożnej trawy o poniżej zaproponowanych parametrach i dokumentach. Proponowana nawierzchnia składa się z dwóch włókien: </w:t>
      </w:r>
      <w:proofErr w:type="spellStart"/>
      <w:r w:rsidR="006E6601" w:rsidRPr="006E6601">
        <w:rPr>
          <w:i/>
          <w:iCs/>
        </w:rPr>
        <w:t>monofilowego</w:t>
      </w:r>
      <w:proofErr w:type="spellEnd"/>
      <w:r w:rsidR="006E6601" w:rsidRPr="006E6601">
        <w:rPr>
          <w:i/>
          <w:iCs/>
        </w:rPr>
        <w:t xml:space="preserve"> cechującym się bardzo wysoką wytrzymałością i sprężystością oraz włókna polietylenowego </w:t>
      </w:r>
      <w:proofErr w:type="spellStart"/>
      <w:r w:rsidR="006E6601" w:rsidRPr="006E6601">
        <w:rPr>
          <w:i/>
          <w:iCs/>
        </w:rPr>
        <w:t>fibrylowanego</w:t>
      </w:r>
      <w:proofErr w:type="spellEnd"/>
      <w:r w:rsidR="006E6601" w:rsidRPr="006E6601">
        <w:rPr>
          <w:i/>
          <w:iCs/>
        </w:rPr>
        <w:t xml:space="preserve">, którego zadaniem jest utrzymanie wypełnienia na miejscu, a także wpływa na poprawę amortyzacji. Nadmieniamy, iż wyznacznikiem gęstości trawy jest ilość włókien, a nie ilość pęczków, które są bez znaczenia i nie mają wpływu na jakość trawy. Parametrem nadrzędnym i najważniejszym w stosunku do wymienionych jest ilość włókien/m2. Standardowe trawy składające się z włókien </w:t>
      </w:r>
      <w:proofErr w:type="spellStart"/>
      <w:r w:rsidR="006E6601" w:rsidRPr="006E6601">
        <w:rPr>
          <w:i/>
          <w:iCs/>
        </w:rPr>
        <w:t>monofilowych</w:t>
      </w:r>
      <w:proofErr w:type="spellEnd"/>
      <w:r w:rsidR="006E6601" w:rsidRPr="006E6601">
        <w:rPr>
          <w:i/>
          <w:iCs/>
        </w:rPr>
        <w:t xml:space="preserve"> i </w:t>
      </w:r>
      <w:proofErr w:type="spellStart"/>
      <w:r w:rsidR="006E6601" w:rsidRPr="006E6601">
        <w:rPr>
          <w:i/>
          <w:iCs/>
        </w:rPr>
        <w:t>fibrylowanych</w:t>
      </w:r>
      <w:proofErr w:type="spellEnd"/>
      <w:r w:rsidR="006E6601" w:rsidRPr="006E6601">
        <w:rPr>
          <w:i/>
          <w:iCs/>
        </w:rPr>
        <w:t xml:space="preserve"> mają gęstość na poziomie min. 110.000-120.000włókien/m2. Nadmieniamy, że włóknem głównym w tej trawie jest włókno </w:t>
      </w:r>
      <w:proofErr w:type="spellStart"/>
      <w:r w:rsidR="006E6601" w:rsidRPr="006E6601">
        <w:rPr>
          <w:i/>
          <w:iCs/>
        </w:rPr>
        <w:t>monofilowe</w:t>
      </w:r>
      <w:proofErr w:type="spellEnd"/>
      <w:r w:rsidR="006E6601" w:rsidRPr="006E6601">
        <w:rPr>
          <w:i/>
          <w:iCs/>
        </w:rPr>
        <w:t xml:space="preserve">, natomiast włókno </w:t>
      </w:r>
      <w:proofErr w:type="spellStart"/>
      <w:r w:rsidR="006E6601" w:rsidRPr="006E6601">
        <w:rPr>
          <w:i/>
          <w:iCs/>
        </w:rPr>
        <w:t>fibrylowane</w:t>
      </w:r>
      <w:proofErr w:type="spellEnd"/>
      <w:r w:rsidR="006E6601" w:rsidRPr="006E6601">
        <w:rPr>
          <w:i/>
          <w:iCs/>
        </w:rPr>
        <w:t xml:space="preserve"> jest włóknem dodatkowym, którego zadaniem jest utrzymanie granulatu przed przemieszczaniem się. </w:t>
      </w:r>
      <w:proofErr w:type="spellStart"/>
      <w:r w:rsidR="006E6601" w:rsidRPr="006E6601">
        <w:rPr>
          <w:i/>
          <w:iCs/>
        </w:rPr>
        <w:t>Włokna</w:t>
      </w:r>
      <w:proofErr w:type="spellEnd"/>
      <w:r w:rsidR="006E6601" w:rsidRPr="006E6601">
        <w:rPr>
          <w:i/>
          <w:iCs/>
        </w:rPr>
        <w:t xml:space="preserve"> </w:t>
      </w:r>
      <w:proofErr w:type="spellStart"/>
      <w:r w:rsidR="006E6601" w:rsidRPr="006E6601">
        <w:rPr>
          <w:i/>
          <w:iCs/>
        </w:rPr>
        <w:t>fibrylowane</w:t>
      </w:r>
      <w:proofErr w:type="spellEnd"/>
      <w:r w:rsidR="006E6601" w:rsidRPr="006E6601">
        <w:rPr>
          <w:i/>
          <w:iCs/>
        </w:rPr>
        <w:t xml:space="preserve"> w wyniku </w:t>
      </w:r>
      <w:proofErr w:type="spellStart"/>
      <w:r w:rsidR="006E6601" w:rsidRPr="006E6601">
        <w:rPr>
          <w:i/>
          <w:iCs/>
        </w:rPr>
        <w:t>fibrylizacji</w:t>
      </w:r>
      <w:proofErr w:type="spellEnd"/>
      <w:r w:rsidR="006E6601" w:rsidRPr="006E6601">
        <w:rPr>
          <w:i/>
          <w:iCs/>
        </w:rPr>
        <w:t xml:space="preserve">  tj. rozdzielenia się włókien na mniejsze, cieńsze pasma,  co powoduje dodatkowe zagęszczenie trawy.  Takie  rozwiązanie zapewni Zamawiającemu trawę o wysokiej jakości oraz zapewni odpowiednie warunki i komfort gry.  Rodzaj zastosowanego podkładu trawy nie ma wpływu na jakość nawierzchni, podkład poliuretanowy i lateksowy są rozwiązaniami równoważnymi. Zaznaczamy, że większość traw produkowanych metodą </w:t>
      </w:r>
      <w:proofErr w:type="spellStart"/>
      <w:r w:rsidR="006E6601" w:rsidRPr="006E6601">
        <w:rPr>
          <w:i/>
          <w:iCs/>
        </w:rPr>
        <w:t>tuftowania</w:t>
      </w:r>
      <w:proofErr w:type="spellEnd"/>
      <w:r w:rsidR="006E6601" w:rsidRPr="006E6601">
        <w:rPr>
          <w:i/>
          <w:iCs/>
        </w:rPr>
        <w:t xml:space="preserve"> produkuje się na podkładzie lateksowym. Proponowany spełnia wymagania normy obowiązującej dla sztucznych traw EN 15330-1:2013 oraz wytyczne FIFA dla poziomu </w:t>
      </w:r>
      <w:proofErr w:type="spellStart"/>
      <w:r w:rsidR="006E6601" w:rsidRPr="006E6601">
        <w:rPr>
          <w:i/>
          <w:iCs/>
        </w:rPr>
        <w:t>Quality</w:t>
      </w:r>
      <w:proofErr w:type="spellEnd"/>
      <w:r w:rsidR="006E6601" w:rsidRPr="006E6601">
        <w:rPr>
          <w:i/>
          <w:iCs/>
        </w:rPr>
        <w:t xml:space="preserve"> i </w:t>
      </w:r>
      <w:proofErr w:type="spellStart"/>
      <w:r w:rsidR="006E6601" w:rsidRPr="006E6601">
        <w:rPr>
          <w:i/>
          <w:iCs/>
        </w:rPr>
        <w:t>Quality</w:t>
      </w:r>
      <w:proofErr w:type="spellEnd"/>
      <w:r w:rsidR="006E6601" w:rsidRPr="006E6601">
        <w:rPr>
          <w:i/>
          <w:iCs/>
        </w:rPr>
        <w:t xml:space="preserve"> Pro. Parametry </w:t>
      </w:r>
      <w:proofErr w:type="spellStart"/>
      <w:r w:rsidR="006E6601" w:rsidRPr="006E6601">
        <w:rPr>
          <w:i/>
          <w:iCs/>
        </w:rPr>
        <w:t>tj</w:t>
      </w:r>
      <w:proofErr w:type="spellEnd"/>
      <w:r w:rsidR="006E6601" w:rsidRPr="006E6601">
        <w:rPr>
          <w:i/>
          <w:iCs/>
        </w:rPr>
        <w:t xml:space="preserve">, </w:t>
      </w:r>
      <w:proofErr w:type="spellStart"/>
      <w:r w:rsidR="006E6601" w:rsidRPr="006E6601">
        <w:rPr>
          <w:i/>
          <w:iCs/>
        </w:rPr>
        <w:t>dtex</w:t>
      </w:r>
      <w:proofErr w:type="spellEnd"/>
      <w:r w:rsidR="006E6601" w:rsidRPr="006E6601">
        <w:rPr>
          <w:i/>
          <w:iCs/>
        </w:rPr>
        <w:t xml:space="preserve">, gęstość trawy czy parametry wytrzymałościowe są na wysokim poziomie jakiego oczekuje Zamawiający. Niemniej jednak istotne jest to, że nawierzchnia jest wytrzymała, co potwierdzają raporty z badań.  Zaproponowany system nawierzchni posiada wymagane przez Zamawiającego dokumenty. Dodatkowo posiada dokumenty potwierdzające, że zaproponowana nawierzchnia jest ekologiczna i bezpieczna dla użytkowników. </w:t>
      </w:r>
    </w:p>
    <w:p w14:paraId="654E4A51" w14:textId="77777777" w:rsidR="006E6601" w:rsidRPr="006E6601" w:rsidRDefault="006E6601" w:rsidP="006E6601">
      <w:pPr>
        <w:jc w:val="both"/>
        <w:rPr>
          <w:i/>
          <w:iCs/>
        </w:rPr>
      </w:pPr>
      <w:r w:rsidRPr="006E6601">
        <w:rPr>
          <w:i/>
          <w:iCs/>
        </w:rPr>
        <w:t>Minimalne parametry techniczne dla nawierzchni:</w:t>
      </w:r>
    </w:p>
    <w:p w14:paraId="0785F2AD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 xml:space="preserve">1. Typ włókna: Kombinacja min. Dwóch </w:t>
      </w:r>
      <w:proofErr w:type="spellStart"/>
      <w:r w:rsidRPr="006E6601">
        <w:rPr>
          <w:i/>
          <w:iCs/>
        </w:rPr>
        <w:t>rodzai</w:t>
      </w:r>
      <w:proofErr w:type="spellEnd"/>
      <w:r w:rsidRPr="006E6601">
        <w:rPr>
          <w:i/>
          <w:iCs/>
        </w:rPr>
        <w:t xml:space="preserve"> włókien w jednym pęczku., mix </w:t>
      </w:r>
      <w:proofErr w:type="spellStart"/>
      <w:r w:rsidRPr="006E6601">
        <w:rPr>
          <w:i/>
          <w:iCs/>
        </w:rPr>
        <w:t>monofil</w:t>
      </w:r>
      <w:proofErr w:type="spellEnd"/>
      <w:r w:rsidRPr="006E6601">
        <w:rPr>
          <w:i/>
          <w:iCs/>
        </w:rPr>
        <w:t xml:space="preserve"> i fibryl </w:t>
      </w:r>
    </w:p>
    <w:p w14:paraId="38BB83E1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 xml:space="preserve">2. Wysokość włókna: min. 45 mm, nie więcej niż 50mm </w:t>
      </w:r>
    </w:p>
    <w:p w14:paraId="0CBF2EF3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>3. Grubość włókna (</w:t>
      </w:r>
      <w:proofErr w:type="spellStart"/>
      <w:r w:rsidRPr="006E6601">
        <w:rPr>
          <w:i/>
          <w:iCs/>
        </w:rPr>
        <w:t>monofil</w:t>
      </w:r>
      <w:proofErr w:type="spellEnd"/>
      <w:r w:rsidRPr="006E6601">
        <w:rPr>
          <w:i/>
          <w:iCs/>
        </w:rPr>
        <w:t>): min. 420 mikronów</w:t>
      </w:r>
    </w:p>
    <w:p w14:paraId="1D78DC72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>4. Grubość włókna (fibryl): min. 95 mikronów</w:t>
      </w:r>
    </w:p>
    <w:p w14:paraId="40ADD5C9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 xml:space="preserve">5. </w:t>
      </w:r>
      <w:proofErr w:type="spellStart"/>
      <w:r w:rsidRPr="006E6601">
        <w:rPr>
          <w:i/>
          <w:iCs/>
        </w:rPr>
        <w:t>Dtex</w:t>
      </w:r>
      <w:proofErr w:type="spellEnd"/>
      <w:r w:rsidRPr="006E6601">
        <w:rPr>
          <w:i/>
          <w:iCs/>
        </w:rPr>
        <w:t>: min. 23 000</w:t>
      </w:r>
    </w:p>
    <w:p w14:paraId="67EF47B9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 xml:space="preserve">6. Gęstość włókien: min. 120 000 włókien/m2 </w:t>
      </w:r>
    </w:p>
    <w:p w14:paraId="619F7DE4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>7. Ilość pęczków/m2: min. 8 660</w:t>
      </w:r>
    </w:p>
    <w:p w14:paraId="3EAD6D11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>8. Odporność na wyrywanie pęczków po starzeniu: min. 90 N</w:t>
      </w:r>
    </w:p>
    <w:p w14:paraId="1E3E0BD4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>9. Waga włókna: min. 1950gr/m2</w:t>
      </w:r>
    </w:p>
    <w:p w14:paraId="4D589802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>10. Całkowita waga nawierzchni: min. 3 100 gr/m2</w:t>
      </w:r>
    </w:p>
    <w:p w14:paraId="5ACC7651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>11. Siła łączenia klejonego po starzeniu wodą: min. 155N/100mm</w:t>
      </w:r>
    </w:p>
    <w:p w14:paraId="70E3E959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 xml:space="preserve">12. Wypełnienie nawierzchni: piasek kwarcowy i granulat gumowy EPDM </w:t>
      </w:r>
    </w:p>
    <w:p w14:paraId="727BF90F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 xml:space="preserve">13. Minimalna grubość maty elastycznej typu </w:t>
      </w:r>
      <w:proofErr w:type="spellStart"/>
      <w:r w:rsidRPr="006E6601">
        <w:rPr>
          <w:i/>
          <w:iCs/>
        </w:rPr>
        <w:t>shockpad</w:t>
      </w:r>
      <w:proofErr w:type="spellEnd"/>
      <w:r w:rsidRPr="006E6601">
        <w:rPr>
          <w:i/>
          <w:iCs/>
        </w:rPr>
        <w:t>: 12 mm</w:t>
      </w:r>
    </w:p>
    <w:p w14:paraId="5519F4E4" w14:textId="77777777" w:rsidR="006E6601" w:rsidRPr="006E6601" w:rsidRDefault="006E6601" w:rsidP="006E6601">
      <w:pPr>
        <w:jc w:val="both"/>
        <w:rPr>
          <w:i/>
          <w:iCs/>
        </w:rPr>
      </w:pPr>
      <w:r w:rsidRPr="006E6601">
        <w:rPr>
          <w:i/>
          <w:iCs/>
        </w:rPr>
        <w:t xml:space="preserve">Dokumenty potwierdzające minimalne parametry oferowanej nawierzchni </w:t>
      </w:r>
    </w:p>
    <w:p w14:paraId="630A49DD" w14:textId="5AE51CF3" w:rsidR="006E6601" w:rsidRPr="006E6601" w:rsidRDefault="006E6601" w:rsidP="006E6601">
      <w:pPr>
        <w:pStyle w:val="Akapitzlist"/>
        <w:numPr>
          <w:ilvl w:val="0"/>
          <w:numId w:val="1"/>
        </w:numPr>
        <w:ind w:left="142"/>
        <w:jc w:val="both"/>
        <w:rPr>
          <w:i/>
          <w:iCs/>
        </w:rPr>
      </w:pPr>
      <w:r w:rsidRPr="006E6601">
        <w:rPr>
          <w:i/>
          <w:iCs/>
        </w:rPr>
        <w:t xml:space="preserve">Raport z badań przeprowadzony przez specjalistyczne laboratorium rekomendowane przez FIFA (np. 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i/>
          <w:iCs/>
        </w:rPr>
        <w:br/>
      </w:r>
      <w:proofErr w:type="spellStart"/>
      <w:r w:rsidRPr="006E6601">
        <w:rPr>
          <w:i/>
          <w:iCs/>
        </w:rPr>
        <w:lastRenderedPageBreak/>
        <w:t>Labosport</w:t>
      </w:r>
      <w:proofErr w:type="spellEnd"/>
      <w:r w:rsidRPr="006E6601">
        <w:rPr>
          <w:i/>
          <w:iCs/>
        </w:rPr>
        <w:t xml:space="preserve"> lub ISA-Sport lub Sports </w:t>
      </w:r>
      <w:proofErr w:type="spellStart"/>
      <w:r w:rsidRPr="006E6601">
        <w:rPr>
          <w:i/>
          <w:iCs/>
        </w:rPr>
        <w:t>LabsLtd</w:t>
      </w:r>
      <w:proofErr w:type="spellEnd"/>
      <w:r w:rsidRPr="006E6601">
        <w:rPr>
          <w:i/>
          <w:iCs/>
        </w:rPr>
        <w:t xml:space="preserve">), dotyczący oferowanego systemu </w:t>
      </w:r>
      <w:r>
        <w:rPr>
          <w:i/>
          <w:iCs/>
        </w:rPr>
        <w:br/>
      </w:r>
      <w:r w:rsidRPr="006E6601">
        <w:rPr>
          <w:i/>
          <w:iCs/>
        </w:rPr>
        <w:t xml:space="preserve">nawierzchni (trawa, mata, zasyp EPDM), potwierdzający zgodność jej parametrów z FIFA </w:t>
      </w:r>
      <w:proofErr w:type="spellStart"/>
      <w:r w:rsidRPr="006E6601">
        <w:rPr>
          <w:i/>
          <w:iCs/>
        </w:rPr>
        <w:t>QualityConcept</w:t>
      </w:r>
      <w:proofErr w:type="spellEnd"/>
      <w:r w:rsidRPr="006E6601">
        <w:rPr>
          <w:i/>
          <w:iCs/>
        </w:rPr>
        <w:t xml:space="preserve"> for Football Turf (edycja 2015) dla poziomu </w:t>
      </w:r>
      <w:proofErr w:type="spellStart"/>
      <w:r w:rsidRPr="006E6601">
        <w:rPr>
          <w:i/>
          <w:iCs/>
        </w:rPr>
        <w:t>Quality</w:t>
      </w:r>
      <w:proofErr w:type="spellEnd"/>
      <w:r w:rsidRPr="006E6601">
        <w:rPr>
          <w:i/>
          <w:iCs/>
        </w:rPr>
        <w:t xml:space="preserve"> I </w:t>
      </w:r>
      <w:proofErr w:type="spellStart"/>
      <w:r w:rsidRPr="006E6601">
        <w:rPr>
          <w:i/>
          <w:iCs/>
        </w:rPr>
        <w:t>Quality</w:t>
      </w:r>
      <w:proofErr w:type="spellEnd"/>
      <w:r w:rsidRPr="006E6601">
        <w:rPr>
          <w:i/>
          <w:iCs/>
        </w:rPr>
        <w:t xml:space="preserve"> PRO oraz potwierdzający parametry oferowanej nawierzchni;</w:t>
      </w:r>
    </w:p>
    <w:p w14:paraId="1CC08A3D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>2. Raport z badań laboratoryjnych przeprowadzony przez specjalistyczne laboratorium dla oferowanego systemu sztucznej trawy (mata+ sztuczna trawa + wypełnienie granulat EPDM) potwierdzający zgodność z normą EN 15330-1:2013 lub równoważną;</w:t>
      </w:r>
    </w:p>
    <w:p w14:paraId="21840FAB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 xml:space="preserve">3. Posiadanie przez producenta sztucznej trawy statusu Licencjobiorcy FIFA (FIFA </w:t>
      </w:r>
      <w:proofErr w:type="spellStart"/>
      <w:r w:rsidRPr="006E6601">
        <w:rPr>
          <w:i/>
          <w:iCs/>
        </w:rPr>
        <w:t>Licensee</w:t>
      </w:r>
      <w:proofErr w:type="spellEnd"/>
      <w:r w:rsidRPr="006E6601">
        <w:rPr>
          <w:i/>
          <w:iCs/>
        </w:rPr>
        <w:t xml:space="preserve">). </w:t>
      </w:r>
    </w:p>
    <w:p w14:paraId="6259CDDD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 xml:space="preserve">4. Atest PZH na nawierzchnię sztuczna trawa. </w:t>
      </w:r>
    </w:p>
    <w:p w14:paraId="2A3B80B6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 xml:space="preserve">5. Atest PZH na wypełnienie EPDM. </w:t>
      </w:r>
    </w:p>
    <w:p w14:paraId="47C58F66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 xml:space="preserve">6. Karta techniczna potwierdzona przez producenta, zawierająca szczegółową charakterystykę i parametry techniczne nawierzchni ze sztucznej trawy. </w:t>
      </w:r>
    </w:p>
    <w:p w14:paraId="011B0843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 xml:space="preserve">7. Raport z badań testu </w:t>
      </w:r>
      <w:proofErr w:type="spellStart"/>
      <w:r w:rsidRPr="006E6601">
        <w:rPr>
          <w:i/>
          <w:iCs/>
        </w:rPr>
        <w:t>Lisport</w:t>
      </w:r>
      <w:proofErr w:type="spellEnd"/>
      <w:r w:rsidRPr="006E6601">
        <w:rPr>
          <w:i/>
          <w:iCs/>
        </w:rPr>
        <w:t xml:space="preserve"> na min. 500.000 cykli dla włókna </w:t>
      </w:r>
      <w:proofErr w:type="spellStart"/>
      <w:r w:rsidRPr="006E6601">
        <w:rPr>
          <w:i/>
          <w:iCs/>
        </w:rPr>
        <w:t>monofilowego</w:t>
      </w:r>
      <w:proofErr w:type="spellEnd"/>
      <w:r w:rsidRPr="006E6601">
        <w:rPr>
          <w:i/>
          <w:iCs/>
        </w:rPr>
        <w:t xml:space="preserve"> oferowanej trawy syntetycznej przeprowadzony przez niezależne i akredytowane przez </w:t>
      </w:r>
      <w:proofErr w:type="spellStart"/>
      <w:r w:rsidRPr="006E6601">
        <w:rPr>
          <w:i/>
          <w:iCs/>
        </w:rPr>
        <w:t>Fifa</w:t>
      </w:r>
      <w:proofErr w:type="spellEnd"/>
      <w:r w:rsidRPr="006E6601">
        <w:rPr>
          <w:i/>
          <w:iCs/>
        </w:rPr>
        <w:t xml:space="preserve"> laboratorium zgodnie z normą EN 15306 „Nawierzchnie do otwartych terenów sportowych – narażenie trawy na oddziaływania”</w:t>
      </w:r>
    </w:p>
    <w:p w14:paraId="05189B68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>8. raport z badań przeprowadzony przez niezależne laboratorium potwierdzający, ze włókno oferowanej trawy spełnia wymagania normy EN 71-3, Bezpieczeństwo zabawek - Cześć 3: Migracja określonych pierwiastków</w:t>
      </w:r>
    </w:p>
    <w:p w14:paraId="1C0E8694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>9.Raport z badań włókna oferowanej trawy syntetycznej na zawartość wielopierścieniowych węglowodanów aromatyzowanych(WWA) potwierdzający zgodność z Rozporządzeniem (WE) REACH z 2013 roku lub dalsze.</w:t>
      </w:r>
    </w:p>
    <w:p w14:paraId="744D97AA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>10. Raport z badań przeprowadzony przez niezależne i akredytowane laboratorium potwierdzające, że trawa syntetyczna spełnia zalecenia dotyczące ochrony środowiska zgodnie z normą DIN 18035-7:2019-12 „Boisko sportowe – Część 7: Systemy murawy syntetycznej”</w:t>
      </w:r>
    </w:p>
    <w:p w14:paraId="5FC042A3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>11. Dokument wydany przez niezależne, akredytowane laboratorium potwierdzający, iż oferowana sztuczna trawa nadaje się do ponownego przetworzenia (recyklingu);</w:t>
      </w:r>
    </w:p>
    <w:p w14:paraId="6DC962C5" w14:textId="77777777" w:rsidR="006E6601" w:rsidRPr="006E6601" w:rsidRDefault="006E6601" w:rsidP="006E6601">
      <w:pPr>
        <w:spacing w:after="0"/>
        <w:jc w:val="both"/>
        <w:rPr>
          <w:i/>
          <w:iCs/>
        </w:rPr>
      </w:pPr>
      <w:r w:rsidRPr="006E6601">
        <w:rPr>
          <w:i/>
          <w:iCs/>
        </w:rPr>
        <w:t>12. Autoryzacja producenta trawy syntetycznej, wystawiona dla wykonawcy na realizowaną inwestycję wraz z potwierdzeniem gwarancji udzielonej przez producenta na tę nawierzchnię.</w:t>
      </w:r>
    </w:p>
    <w:p w14:paraId="17543EFE" w14:textId="61DF0D8F" w:rsidR="00CE40DC" w:rsidRPr="006E6601" w:rsidRDefault="006E6601" w:rsidP="006E6601">
      <w:pPr>
        <w:jc w:val="both"/>
        <w:rPr>
          <w:i/>
          <w:iCs/>
        </w:rPr>
      </w:pPr>
      <w:r w:rsidRPr="006E6601">
        <w:rPr>
          <w:i/>
          <w:iCs/>
        </w:rPr>
        <w:tab/>
        <w:t>W związku z powyższym prosimy o dopuszczenie do postępowania nawierzchni o w/w parametrach i dokumentach.</w:t>
      </w:r>
    </w:p>
    <w:p w14:paraId="0C27EDCD" w14:textId="02740575" w:rsidR="00CE40DC" w:rsidRPr="009D55F4" w:rsidRDefault="00CE40DC" w:rsidP="009D55F4">
      <w:pPr>
        <w:jc w:val="both"/>
      </w:pPr>
      <w:r w:rsidRPr="00862B6A">
        <w:rPr>
          <w:b/>
          <w:bCs/>
        </w:rPr>
        <w:t>Odpowiedź:</w:t>
      </w:r>
      <w:r>
        <w:rPr>
          <w:b/>
          <w:bCs/>
        </w:rPr>
        <w:t xml:space="preserve"> </w:t>
      </w:r>
      <w:r w:rsidR="006E6601" w:rsidRPr="006E6601">
        <w:rPr>
          <w:b/>
          <w:bCs/>
        </w:rPr>
        <w:t>Zamawiający utrzymuje minimalny wymóg parametrów trawy zgodnie  z dokumentacją załączoną do postępowania przetargowego.</w:t>
      </w:r>
    </w:p>
    <w:p w14:paraId="06B9C9E2" w14:textId="77777777" w:rsidR="00CE40DC" w:rsidRDefault="00CE40DC" w:rsidP="00CE40DC">
      <w:pPr>
        <w:rPr>
          <w:rStyle w:val="fontstyle01"/>
          <w:i/>
        </w:rPr>
      </w:pPr>
    </w:p>
    <w:p w14:paraId="4C89E0EE" w14:textId="77777777" w:rsidR="00CE40DC" w:rsidRDefault="00CE40DC" w:rsidP="00340E95">
      <w:pPr>
        <w:ind w:left="6372"/>
        <w:rPr>
          <w:rStyle w:val="fontstyle01"/>
          <w:i/>
        </w:rPr>
      </w:pPr>
    </w:p>
    <w:p w14:paraId="314D5704" w14:textId="77777777" w:rsidR="00CE40DC" w:rsidRDefault="00CE40DC" w:rsidP="00340E95">
      <w:pPr>
        <w:ind w:left="6372"/>
        <w:rPr>
          <w:rStyle w:val="fontstyle01"/>
          <w:i/>
        </w:rPr>
      </w:pPr>
    </w:p>
    <w:p w14:paraId="6479D67E" w14:textId="77777777" w:rsidR="00CE40DC" w:rsidRDefault="00CE40DC" w:rsidP="00340E95">
      <w:pPr>
        <w:ind w:left="6372"/>
        <w:rPr>
          <w:rStyle w:val="fontstyle01"/>
          <w:i/>
        </w:rPr>
      </w:pPr>
    </w:p>
    <w:p w14:paraId="5D8FF1AA" w14:textId="229FB89B" w:rsidR="00E87BC5" w:rsidRPr="00E87BC5" w:rsidRDefault="00340E95" w:rsidP="00340E95">
      <w:pPr>
        <w:ind w:left="6372"/>
        <w:rPr>
          <w:rStyle w:val="fontstyle01"/>
          <w:i/>
        </w:rPr>
      </w:pPr>
      <w:r w:rsidRPr="00E87BC5">
        <w:rPr>
          <w:rStyle w:val="fontstyle01"/>
          <w:i/>
        </w:rPr>
        <w:t>Krystyna Andruch</w:t>
      </w:r>
      <w:r w:rsidRPr="00E87BC5">
        <w:rPr>
          <w:rFonts w:ascii="TimesNewRomanPSMT" w:hAnsi="TimesNewRomanPSMT"/>
          <w:i/>
          <w:color w:val="000000"/>
        </w:rPr>
        <w:br/>
      </w:r>
    </w:p>
    <w:p w14:paraId="13BFDA5A" w14:textId="312684DA" w:rsidR="002A1035" w:rsidRPr="00CE40DC" w:rsidRDefault="00E87BC5" w:rsidP="00CE40DC">
      <w:pPr>
        <w:ind w:left="6372"/>
        <w:rPr>
          <w:rStyle w:val="fontstyle01"/>
          <w:i/>
        </w:rPr>
      </w:pPr>
      <w:r>
        <w:rPr>
          <w:rStyle w:val="fontstyle01"/>
          <w:i/>
        </w:rPr>
        <w:t xml:space="preserve"> </w:t>
      </w:r>
      <w:r w:rsidR="00340E95" w:rsidRPr="00E87BC5">
        <w:rPr>
          <w:rStyle w:val="fontstyle01"/>
          <w:i/>
        </w:rPr>
        <w:t>Burmistrz Dukli</w:t>
      </w:r>
    </w:p>
    <w:p w14:paraId="604990DC" w14:textId="77777777" w:rsidR="002A1035" w:rsidRDefault="002A1035">
      <w:pPr>
        <w:rPr>
          <w:rStyle w:val="fontstyle01"/>
        </w:rPr>
      </w:pPr>
    </w:p>
    <w:p w14:paraId="16B54230" w14:textId="77777777" w:rsidR="00326188" w:rsidRDefault="00326188">
      <w:pPr>
        <w:rPr>
          <w:rStyle w:val="fontstyle01"/>
        </w:rPr>
      </w:pPr>
    </w:p>
    <w:p w14:paraId="0A29F245" w14:textId="77777777" w:rsidR="006E6601" w:rsidRPr="006E6601" w:rsidRDefault="006E6601" w:rsidP="006E6601">
      <w:pPr>
        <w:rPr>
          <w:rFonts w:ascii="TimesNewRomanPSMT" w:hAnsi="TimesNewRomanPSMT"/>
          <w:sz w:val="24"/>
          <w:szCs w:val="24"/>
        </w:rPr>
      </w:pPr>
    </w:p>
    <w:sectPr w:rsidR="006E6601" w:rsidRPr="006E6601" w:rsidSect="006E6601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737A" w14:textId="77777777" w:rsidR="003D51F3" w:rsidRDefault="003D51F3" w:rsidP="00326188">
      <w:pPr>
        <w:spacing w:after="0" w:line="240" w:lineRule="auto"/>
      </w:pPr>
      <w:r>
        <w:separator/>
      </w:r>
    </w:p>
  </w:endnote>
  <w:endnote w:type="continuationSeparator" w:id="0">
    <w:p w14:paraId="24B7042D" w14:textId="77777777" w:rsidR="003D51F3" w:rsidRDefault="003D51F3" w:rsidP="0032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DDA0" w14:textId="5515E81C" w:rsidR="00326188" w:rsidRPr="00340E95" w:rsidRDefault="00326188" w:rsidP="00326188">
    <w:pPr>
      <w:jc w:val="center"/>
      <w:rPr>
        <w:rFonts w:ascii="TimesNewRomanPSMT" w:hAnsi="TimesNewRomanPSMT"/>
        <w:color w:val="000000"/>
        <w:sz w:val="24"/>
        <w:szCs w:val="24"/>
      </w:rPr>
    </w:pPr>
    <w:r>
      <w:rPr>
        <w:rStyle w:val="fontstyle01"/>
        <w:sz w:val="20"/>
        <w:szCs w:val="20"/>
      </w:rPr>
      <w:t xml:space="preserve">Umieszczono na stronie </w:t>
    </w:r>
    <w:r>
      <w:rPr>
        <w:rStyle w:val="fontstyle01"/>
        <w:color w:val="0563C1"/>
        <w:sz w:val="20"/>
        <w:szCs w:val="20"/>
      </w:rPr>
      <w:t>https://ezamowienia.gov.pl/pl/</w:t>
    </w:r>
    <w:r>
      <w:rPr>
        <w:rStyle w:val="fontstyle01"/>
        <w:sz w:val="20"/>
        <w:szCs w:val="20"/>
      </w:rPr>
      <w:t xml:space="preserve">, </w:t>
    </w:r>
    <w:r>
      <w:rPr>
        <w:rStyle w:val="fontstyle01"/>
        <w:color w:val="0563C1"/>
        <w:sz w:val="20"/>
        <w:szCs w:val="20"/>
      </w:rPr>
      <w:t xml:space="preserve">http://bip.dukla.pl </w:t>
    </w:r>
    <w:r>
      <w:rPr>
        <w:rStyle w:val="fontstyle01"/>
        <w:sz w:val="20"/>
        <w:szCs w:val="20"/>
      </w:rPr>
      <w:t xml:space="preserve">w dniu </w:t>
    </w:r>
    <w:r w:rsidR="006E6601">
      <w:rPr>
        <w:rStyle w:val="fontstyle01"/>
        <w:sz w:val="20"/>
        <w:szCs w:val="20"/>
      </w:rPr>
      <w:t xml:space="preserve">10 lipca </w:t>
    </w:r>
    <w:r>
      <w:rPr>
        <w:rStyle w:val="fontstyle01"/>
        <w:sz w:val="20"/>
        <w:szCs w:val="20"/>
      </w:rPr>
      <w:t xml:space="preserve"> 2025 r.</w:t>
    </w:r>
  </w:p>
  <w:p w14:paraId="15E3AB76" w14:textId="77777777" w:rsidR="00326188" w:rsidRDefault="00326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AB22" w14:textId="77777777" w:rsidR="003D51F3" w:rsidRDefault="003D51F3" w:rsidP="00326188">
      <w:pPr>
        <w:spacing w:after="0" w:line="240" w:lineRule="auto"/>
      </w:pPr>
      <w:r>
        <w:separator/>
      </w:r>
    </w:p>
  </w:footnote>
  <w:footnote w:type="continuationSeparator" w:id="0">
    <w:p w14:paraId="0D531A5B" w14:textId="77777777" w:rsidR="003D51F3" w:rsidRDefault="003D51F3" w:rsidP="00326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4E48"/>
    <w:multiLevelType w:val="hybridMultilevel"/>
    <w:tmpl w:val="76B0D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7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5"/>
    <w:rsid w:val="000B4E84"/>
    <w:rsid w:val="00144C36"/>
    <w:rsid w:val="001508BE"/>
    <w:rsid w:val="00191AD0"/>
    <w:rsid w:val="00251612"/>
    <w:rsid w:val="00275D50"/>
    <w:rsid w:val="002A1035"/>
    <w:rsid w:val="002E59FD"/>
    <w:rsid w:val="00326188"/>
    <w:rsid w:val="00340E95"/>
    <w:rsid w:val="003D51F3"/>
    <w:rsid w:val="00607669"/>
    <w:rsid w:val="006526ED"/>
    <w:rsid w:val="006E6601"/>
    <w:rsid w:val="008301C4"/>
    <w:rsid w:val="00862B6A"/>
    <w:rsid w:val="00953609"/>
    <w:rsid w:val="009A6220"/>
    <w:rsid w:val="009D55F4"/>
    <w:rsid w:val="00AD3FF2"/>
    <w:rsid w:val="00BC7CF6"/>
    <w:rsid w:val="00C00E9C"/>
    <w:rsid w:val="00C922AE"/>
    <w:rsid w:val="00CC0380"/>
    <w:rsid w:val="00CD53CC"/>
    <w:rsid w:val="00CE40DC"/>
    <w:rsid w:val="00D062E5"/>
    <w:rsid w:val="00D24BF4"/>
    <w:rsid w:val="00D37963"/>
    <w:rsid w:val="00DF476E"/>
    <w:rsid w:val="00E87BC5"/>
    <w:rsid w:val="00F82319"/>
    <w:rsid w:val="00F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09"/>
  <w15:chartTrackingRefBased/>
  <w15:docId w15:val="{33FBBCDD-AEFF-4BD6-AB83-318C9AD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0E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40E9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24BF4"/>
  </w:style>
  <w:style w:type="character" w:styleId="Pogrubienie">
    <w:name w:val="Strong"/>
    <w:basedOn w:val="Domylnaczcionkaakapitu"/>
    <w:uiPriority w:val="22"/>
    <w:qFormat/>
    <w:rsid w:val="00D24B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188"/>
  </w:style>
  <w:style w:type="paragraph" w:styleId="Stopka">
    <w:name w:val="footer"/>
    <w:basedOn w:val="Normalny"/>
    <w:link w:val="StopkaZnak"/>
    <w:uiPriority w:val="99"/>
    <w:unhideWhenUsed/>
    <w:rsid w:val="0032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88"/>
  </w:style>
  <w:style w:type="paragraph" w:styleId="Akapitzlist">
    <w:name w:val="List Paragraph"/>
    <w:basedOn w:val="Normalny"/>
    <w:uiPriority w:val="34"/>
    <w:qFormat/>
    <w:rsid w:val="006E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12</cp:revision>
  <cp:lastPrinted>2025-07-10T09:33:00Z</cp:lastPrinted>
  <dcterms:created xsi:type="dcterms:W3CDTF">2024-08-02T06:33:00Z</dcterms:created>
  <dcterms:modified xsi:type="dcterms:W3CDTF">2025-07-10T09:36:00Z</dcterms:modified>
</cp:coreProperties>
</file>