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8FF4" w14:textId="77777777" w:rsidR="00363062" w:rsidRDefault="00363062" w:rsidP="003B733F">
      <w:pPr>
        <w:spacing w:after="0"/>
        <w:jc w:val="both"/>
        <w:rPr>
          <w:rStyle w:val="fontstyle01"/>
          <w:rFonts w:asciiTheme="minorHAnsi" w:hAnsiTheme="minorHAnsi" w:cstheme="minorHAnsi"/>
        </w:rPr>
      </w:pPr>
    </w:p>
    <w:p w14:paraId="214F028B" w14:textId="135746CB" w:rsidR="00340E95" w:rsidRPr="003B733F" w:rsidRDefault="00CD53CC" w:rsidP="003B733F">
      <w:pPr>
        <w:spacing w:after="0"/>
        <w:jc w:val="both"/>
        <w:rPr>
          <w:rStyle w:val="fontstyle21"/>
          <w:rFonts w:asciiTheme="minorHAnsi" w:hAnsiTheme="minorHAnsi" w:cstheme="minorHAnsi"/>
        </w:rPr>
      </w:pPr>
      <w:r w:rsidRPr="003B733F">
        <w:rPr>
          <w:rStyle w:val="fontstyle01"/>
          <w:rFonts w:asciiTheme="minorHAnsi" w:hAnsiTheme="minorHAnsi" w:cstheme="minorHAnsi"/>
        </w:rPr>
        <w:t>Znak: I.271.</w:t>
      </w:r>
      <w:r w:rsidR="00607669" w:rsidRPr="003B733F">
        <w:rPr>
          <w:rStyle w:val="fontstyle01"/>
          <w:rFonts w:asciiTheme="minorHAnsi" w:hAnsiTheme="minorHAnsi" w:cstheme="minorHAnsi"/>
        </w:rPr>
        <w:t>10</w:t>
      </w:r>
      <w:r w:rsidR="00251612" w:rsidRPr="003B733F">
        <w:rPr>
          <w:rStyle w:val="fontstyle01"/>
          <w:rFonts w:asciiTheme="minorHAnsi" w:hAnsiTheme="minorHAnsi" w:cstheme="minorHAnsi"/>
        </w:rPr>
        <w:t>.202</w:t>
      </w:r>
      <w:r w:rsidR="00862B6A" w:rsidRPr="003B733F">
        <w:rPr>
          <w:rStyle w:val="fontstyle01"/>
          <w:rFonts w:asciiTheme="minorHAnsi" w:hAnsiTheme="minorHAnsi" w:cstheme="minorHAnsi"/>
        </w:rPr>
        <w:t>5</w:t>
      </w:r>
      <w:r w:rsidR="00251612" w:rsidRPr="003B733F">
        <w:rPr>
          <w:rStyle w:val="fontstyle01"/>
          <w:rFonts w:asciiTheme="minorHAnsi" w:hAnsiTheme="minorHAnsi" w:cstheme="minorHAnsi"/>
        </w:rPr>
        <w:t xml:space="preserve"> </w:t>
      </w:r>
      <w:r w:rsidR="00251612" w:rsidRPr="003B733F">
        <w:rPr>
          <w:rStyle w:val="fontstyle01"/>
          <w:rFonts w:asciiTheme="minorHAnsi" w:hAnsiTheme="minorHAnsi" w:cstheme="minorHAnsi"/>
        </w:rPr>
        <w:tab/>
      </w:r>
      <w:r w:rsidR="00251612" w:rsidRPr="003B733F">
        <w:rPr>
          <w:rStyle w:val="fontstyle01"/>
          <w:rFonts w:asciiTheme="minorHAnsi" w:hAnsiTheme="minorHAnsi" w:cstheme="minorHAnsi"/>
        </w:rPr>
        <w:tab/>
      </w:r>
      <w:r w:rsidR="00251612" w:rsidRPr="003B733F">
        <w:rPr>
          <w:rStyle w:val="fontstyle01"/>
          <w:rFonts w:asciiTheme="minorHAnsi" w:hAnsiTheme="minorHAnsi" w:cstheme="minorHAnsi"/>
        </w:rPr>
        <w:tab/>
      </w:r>
      <w:r w:rsidR="00251612" w:rsidRPr="003B733F">
        <w:rPr>
          <w:rStyle w:val="fontstyle01"/>
          <w:rFonts w:asciiTheme="minorHAnsi" w:hAnsiTheme="minorHAnsi" w:cstheme="minorHAnsi"/>
        </w:rPr>
        <w:tab/>
      </w:r>
      <w:r w:rsidR="00251612" w:rsidRPr="003B733F">
        <w:rPr>
          <w:rStyle w:val="fontstyle01"/>
          <w:rFonts w:asciiTheme="minorHAnsi" w:hAnsiTheme="minorHAnsi" w:cstheme="minorHAnsi"/>
        </w:rPr>
        <w:tab/>
      </w:r>
      <w:r w:rsidR="00862B6A" w:rsidRPr="003B733F">
        <w:rPr>
          <w:rStyle w:val="fontstyle01"/>
          <w:rFonts w:asciiTheme="minorHAnsi" w:hAnsiTheme="minorHAnsi" w:cstheme="minorHAnsi"/>
        </w:rPr>
        <w:tab/>
      </w:r>
      <w:r w:rsidR="00862B6A" w:rsidRPr="003B733F">
        <w:rPr>
          <w:rStyle w:val="fontstyle01"/>
          <w:rFonts w:asciiTheme="minorHAnsi" w:hAnsiTheme="minorHAnsi" w:cstheme="minorHAnsi"/>
        </w:rPr>
        <w:tab/>
      </w:r>
      <w:r w:rsidR="00363062">
        <w:rPr>
          <w:rStyle w:val="fontstyle01"/>
          <w:rFonts w:asciiTheme="minorHAnsi" w:hAnsiTheme="minorHAnsi" w:cstheme="minorHAnsi"/>
        </w:rPr>
        <w:t xml:space="preserve">    </w:t>
      </w:r>
      <w:r w:rsidR="00C00E9C" w:rsidRPr="003B733F">
        <w:rPr>
          <w:rStyle w:val="fontstyle01"/>
          <w:rFonts w:asciiTheme="minorHAnsi" w:hAnsiTheme="minorHAnsi" w:cstheme="minorHAnsi"/>
        </w:rPr>
        <w:t xml:space="preserve">Dukla, dnia </w:t>
      </w:r>
      <w:r w:rsidR="00607669" w:rsidRPr="003B733F">
        <w:rPr>
          <w:rStyle w:val="fontstyle01"/>
          <w:rFonts w:asciiTheme="minorHAnsi" w:hAnsiTheme="minorHAnsi" w:cstheme="minorHAnsi"/>
        </w:rPr>
        <w:t>1</w:t>
      </w:r>
      <w:r w:rsidR="003B733F" w:rsidRPr="003B733F">
        <w:rPr>
          <w:rStyle w:val="fontstyle01"/>
          <w:rFonts w:asciiTheme="minorHAnsi" w:hAnsiTheme="minorHAnsi" w:cstheme="minorHAnsi"/>
        </w:rPr>
        <w:t>5</w:t>
      </w:r>
      <w:r w:rsidR="00CE40DC" w:rsidRPr="003B733F">
        <w:rPr>
          <w:rStyle w:val="fontstyle01"/>
          <w:rFonts w:asciiTheme="minorHAnsi" w:hAnsiTheme="minorHAnsi" w:cstheme="minorHAnsi"/>
        </w:rPr>
        <w:t>.0</w:t>
      </w:r>
      <w:r w:rsidR="00607669" w:rsidRPr="003B733F">
        <w:rPr>
          <w:rStyle w:val="fontstyle01"/>
          <w:rFonts w:asciiTheme="minorHAnsi" w:hAnsiTheme="minorHAnsi" w:cstheme="minorHAnsi"/>
        </w:rPr>
        <w:t>7</w:t>
      </w:r>
      <w:r w:rsidR="00CE40DC" w:rsidRPr="003B733F">
        <w:rPr>
          <w:rStyle w:val="fontstyle01"/>
          <w:rFonts w:asciiTheme="minorHAnsi" w:hAnsiTheme="minorHAnsi" w:cstheme="minorHAnsi"/>
        </w:rPr>
        <w:t>.</w:t>
      </w:r>
      <w:r w:rsidR="00340E95" w:rsidRPr="003B733F">
        <w:rPr>
          <w:rStyle w:val="fontstyle01"/>
          <w:rFonts w:asciiTheme="minorHAnsi" w:hAnsiTheme="minorHAnsi" w:cstheme="minorHAnsi"/>
        </w:rPr>
        <w:t>202</w:t>
      </w:r>
      <w:r w:rsidR="00862B6A" w:rsidRPr="003B733F">
        <w:rPr>
          <w:rStyle w:val="fontstyle01"/>
          <w:rFonts w:asciiTheme="minorHAnsi" w:hAnsiTheme="minorHAnsi" w:cstheme="minorHAnsi"/>
        </w:rPr>
        <w:t>5</w:t>
      </w:r>
      <w:r w:rsidR="00340E95" w:rsidRPr="003B733F">
        <w:rPr>
          <w:rStyle w:val="fontstyle01"/>
          <w:rFonts w:asciiTheme="minorHAnsi" w:hAnsiTheme="minorHAnsi" w:cstheme="minorHAnsi"/>
        </w:rPr>
        <w:t xml:space="preserve"> r.</w:t>
      </w:r>
      <w:r w:rsidR="00340E95" w:rsidRPr="003B733F">
        <w:rPr>
          <w:rFonts w:cstheme="minorHAnsi"/>
          <w:color w:val="000000"/>
        </w:rPr>
        <w:br/>
      </w:r>
    </w:p>
    <w:p w14:paraId="6F2156A6" w14:textId="77777777" w:rsidR="009A6220" w:rsidRPr="003B733F" w:rsidRDefault="009A6220" w:rsidP="003B733F">
      <w:pPr>
        <w:spacing w:after="0"/>
        <w:jc w:val="both"/>
        <w:rPr>
          <w:rStyle w:val="fontstyle21"/>
          <w:rFonts w:asciiTheme="minorHAnsi" w:hAnsiTheme="minorHAnsi" w:cstheme="minorHAnsi"/>
        </w:rPr>
      </w:pPr>
    </w:p>
    <w:p w14:paraId="6D061B6F" w14:textId="77777777" w:rsidR="00340E95" w:rsidRPr="003B733F" w:rsidRDefault="00340E95" w:rsidP="003B733F">
      <w:pPr>
        <w:spacing w:after="0"/>
        <w:jc w:val="center"/>
        <w:rPr>
          <w:rStyle w:val="fontstyle21"/>
          <w:rFonts w:asciiTheme="minorHAnsi" w:hAnsiTheme="minorHAnsi" w:cstheme="minorHAnsi"/>
        </w:rPr>
      </w:pPr>
      <w:r w:rsidRPr="003B733F">
        <w:rPr>
          <w:rStyle w:val="fontstyle21"/>
          <w:rFonts w:asciiTheme="minorHAnsi" w:hAnsiTheme="minorHAnsi" w:cstheme="minorHAnsi"/>
        </w:rPr>
        <w:t>Wg rozdzielnika</w:t>
      </w:r>
    </w:p>
    <w:p w14:paraId="1E57585A" w14:textId="77777777" w:rsidR="009A6220" w:rsidRPr="003B733F" w:rsidRDefault="009A6220" w:rsidP="003B733F">
      <w:pPr>
        <w:spacing w:after="0"/>
        <w:jc w:val="both"/>
        <w:rPr>
          <w:rStyle w:val="fontstyle21"/>
          <w:rFonts w:asciiTheme="minorHAnsi" w:hAnsiTheme="minorHAnsi" w:cstheme="minorHAnsi"/>
        </w:rPr>
      </w:pPr>
    </w:p>
    <w:p w14:paraId="17E5453F" w14:textId="77777777" w:rsidR="00340E95" w:rsidRDefault="00340E95" w:rsidP="003B733F">
      <w:pPr>
        <w:spacing w:after="0"/>
        <w:jc w:val="both"/>
        <w:rPr>
          <w:rStyle w:val="fontstyle01"/>
          <w:rFonts w:asciiTheme="minorHAnsi" w:hAnsiTheme="minorHAnsi" w:cstheme="minorHAnsi"/>
        </w:rPr>
      </w:pPr>
      <w:r w:rsidRPr="003B733F">
        <w:rPr>
          <w:rFonts w:cstheme="minorHAnsi"/>
          <w:b/>
          <w:bCs/>
          <w:color w:val="000000"/>
        </w:rPr>
        <w:br/>
      </w:r>
      <w:r w:rsidRPr="003B733F">
        <w:rPr>
          <w:rStyle w:val="fontstyle01"/>
          <w:rFonts w:asciiTheme="minorHAnsi" w:hAnsiTheme="minorHAnsi" w:cstheme="minorHAnsi"/>
        </w:rPr>
        <w:t>Dotyczy postępowania prowadzonego w trybie podstawowym na podstawie art. 275 pkt 1</w:t>
      </w:r>
      <w:r w:rsidRPr="003B733F">
        <w:rPr>
          <w:rFonts w:cstheme="minorHAnsi"/>
          <w:color w:val="000000"/>
        </w:rPr>
        <w:br/>
      </w:r>
      <w:r w:rsidRPr="003B733F">
        <w:rPr>
          <w:rStyle w:val="fontstyle01"/>
          <w:rFonts w:asciiTheme="minorHAnsi" w:hAnsiTheme="minorHAnsi" w:cstheme="minorHAnsi"/>
        </w:rPr>
        <w:t>ustawy Prawo Zamówień Publicznych:</w:t>
      </w:r>
    </w:p>
    <w:p w14:paraId="254E2119" w14:textId="77777777" w:rsidR="00363062" w:rsidRPr="003B733F" w:rsidRDefault="00363062" w:rsidP="003B733F">
      <w:pPr>
        <w:spacing w:after="0"/>
        <w:jc w:val="both"/>
        <w:rPr>
          <w:rStyle w:val="fontstyle01"/>
          <w:rFonts w:asciiTheme="minorHAnsi" w:hAnsiTheme="minorHAnsi" w:cstheme="minorHAnsi"/>
        </w:rPr>
      </w:pPr>
    </w:p>
    <w:p w14:paraId="519E3F7A" w14:textId="77777777" w:rsidR="00191AD0" w:rsidRPr="003B733F" w:rsidRDefault="00191AD0" w:rsidP="003B733F">
      <w:pPr>
        <w:spacing w:after="0"/>
        <w:jc w:val="both"/>
        <w:rPr>
          <w:rStyle w:val="fontstyle01"/>
          <w:rFonts w:asciiTheme="minorHAnsi" w:hAnsiTheme="minorHAnsi" w:cstheme="minorHAnsi"/>
        </w:rPr>
      </w:pPr>
    </w:p>
    <w:p w14:paraId="1BB67B6B" w14:textId="42A9741D" w:rsidR="00607669" w:rsidRDefault="00607669" w:rsidP="003B733F">
      <w:pPr>
        <w:spacing w:after="0"/>
        <w:jc w:val="center"/>
        <w:rPr>
          <w:rFonts w:cstheme="minorHAnsi"/>
          <w:b/>
          <w:bCs/>
          <w:color w:val="000000"/>
        </w:rPr>
      </w:pPr>
      <w:r w:rsidRPr="003B733F">
        <w:rPr>
          <w:rFonts w:cstheme="minorHAnsi"/>
          <w:b/>
          <w:bCs/>
          <w:color w:val="000000"/>
        </w:rPr>
        <w:t xml:space="preserve">„Modernizacja boiska piłkarskiego przy Szkole Podstawowej i Liceum Ogólnokształcącym </w:t>
      </w:r>
      <w:r w:rsidRPr="003B733F">
        <w:rPr>
          <w:rFonts w:cstheme="minorHAnsi"/>
          <w:b/>
          <w:bCs/>
          <w:color w:val="000000"/>
        </w:rPr>
        <w:br/>
        <w:t>w Dukli”</w:t>
      </w:r>
    </w:p>
    <w:p w14:paraId="7C8AAACD" w14:textId="77777777" w:rsidR="00363062" w:rsidRPr="003B733F" w:rsidRDefault="00363062" w:rsidP="003B733F">
      <w:pPr>
        <w:spacing w:after="0"/>
        <w:jc w:val="center"/>
        <w:rPr>
          <w:rFonts w:cstheme="minorHAnsi"/>
          <w:b/>
          <w:bCs/>
          <w:color w:val="000000"/>
        </w:rPr>
      </w:pPr>
    </w:p>
    <w:p w14:paraId="5077F8D3" w14:textId="5AA2341F" w:rsidR="00CE40DC" w:rsidRDefault="00340E95" w:rsidP="003B733F">
      <w:pPr>
        <w:spacing w:after="0"/>
        <w:jc w:val="both"/>
        <w:rPr>
          <w:rStyle w:val="fontstyle01"/>
          <w:rFonts w:asciiTheme="minorHAnsi" w:hAnsiTheme="minorHAnsi" w:cstheme="minorHAnsi"/>
        </w:rPr>
      </w:pPr>
      <w:r w:rsidRPr="003B733F">
        <w:rPr>
          <w:rFonts w:cstheme="minorHAnsi"/>
          <w:b/>
          <w:bCs/>
          <w:color w:val="000000"/>
        </w:rPr>
        <w:br/>
      </w:r>
      <w:r w:rsidRPr="003B733F">
        <w:rPr>
          <w:rStyle w:val="fontstyle01"/>
          <w:rFonts w:asciiTheme="minorHAnsi" w:hAnsiTheme="minorHAnsi" w:cstheme="minorHAnsi"/>
        </w:rPr>
        <w:t>Na podstawie art. 135 ust. 2 ustawy Prawo zamówień publicznych z dnia 11 września 2019 r.</w:t>
      </w:r>
      <w:r w:rsidRPr="003B733F">
        <w:rPr>
          <w:rFonts w:cstheme="minorHAnsi"/>
          <w:color w:val="000000"/>
        </w:rPr>
        <w:br/>
      </w:r>
      <w:r w:rsidRPr="003B733F">
        <w:rPr>
          <w:rStyle w:val="fontstyle01"/>
          <w:rFonts w:asciiTheme="minorHAnsi" w:hAnsiTheme="minorHAnsi" w:cstheme="minorHAnsi"/>
        </w:rPr>
        <w:t>– Prawo zamówień publicznych Zamawiający udziela odpowiedzi na pytanie:</w:t>
      </w:r>
    </w:p>
    <w:p w14:paraId="7658298E" w14:textId="77777777" w:rsidR="00363062" w:rsidRPr="003B733F" w:rsidRDefault="00363062" w:rsidP="003B733F">
      <w:pPr>
        <w:spacing w:after="0"/>
        <w:jc w:val="both"/>
        <w:rPr>
          <w:rStyle w:val="fontstyle01"/>
          <w:rFonts w:asciiTheme="minorHAnsi" w:hAnsiTheme="minorHAnsi" w:cstheme="minorHAnsi"/>
        </w:rPr>
      </w:pPr>
    </w:p>
    <w:p w14:paraId="1C29DAF4" w14:textId="7E685318" w:rsidR="0003634D" w:rsidRPr="003B733F" w:rsidRDefault="00340E95" w:rsidP="003B733F">
      <w:pPr>
        <w:spacing w:after="0"/>
        <w:jc w:val="both"/>
        <w:rPr>
          <w:rFonts w:cstheme="minorHAnsi"/>
          <w:b/>
          <w:bCs/>
          <w:i/>
          <w:iCs/>
        </w:rPr>
      </w:pPr>
      <w:r w:rsidRPr="003B733F">
        <w:rPr>
          <w:rFonts w:cstheme="minorHAnsi"/>
          <w:color w:val="000000"/>
        </w:rPr>
        <w:br/>
      </w:r>
      <w:r w:rsidR="002A1035" w:rsidRPr="003B733F">
        <w:rPr>
          <w:rFonts w:cstheme="minorHAnsi"/>
          <w:b/>
          <w:bCs/>
          <w:u w:val="single"/>
        </w:rPr>
        <w:t>Pytanie 1</w:t>
      </w:r>
      <w:r w:rsidR="00607669" w:rsidRPr="003B733F">
        <w:rPr>
          <w:rFonts w:cstheme="minorHAnsi"/>
          <w:b/>
          <w:bCs/>
          <w:i/>
          <w:iCs/>
        </w:rPr>
        <w:t>.</w:t>
      </w:r>
      <w:bookmarkStart w:id="0" w:name="_Hlk196466295"/>
      <w:r w:rsidR="0003634D" w:rsidRPr="003B733F">
        <w:rPr>
          <w:rFonts w:cstheme="minorHAnsi"/>
        </w:rPr>
        <w:t xml:space="preserve"> </w:t>
      </w:r>
      <w:r w:rsidR="0003634D" w:rsidRPr="003B733F">
        <w:rPr>
          <w:rFonts w:cstheme="minorHAnsi"/>
          <w:b/>
          <w:bCs/>
          <w:i/>
          <w:iCs/>
        </w:rPr>
        <w:t>Prosimy o wyjaśnienie zapisów SWZ, z których wynika, że Zamawiający faworyzuje jednego producenta trawy. Jeżeli Zamawiający stoi na stanowisku, że oczekuje produktu o wysokich parametrach i nie opisał parametrów jednego producenta, to prosimy o dopuszczenie trawy syntetycznej, gdzie występuje:</w:t>
      </w:r>
    </w:p>
    <w:p w14:paraId="0CC1851B" w14:textId="77777777" w:rsidR="0003634D" w:rsidRPr="003B733F" w:rsidRDefault="0003634D" w:rsidP="003B733F">
      <w:pPr>
        <w:spacing w:after="0"/>
        <w:jc w:val="both"/>
        <w:rPr>
          <w:rFonts w:cstheme="minorHAnsi"/>
          <w:b/>
          <w:bCs/>
          <w:i/>
          <w:iCs/>
        </w:rPr>
      </w:pPr>
      <w:r w:rsidRPr="003B733F">
        <w:rPr>
          <w:rFonts w:cstheme="minorHAnsi"/>
          <w:b/>
          <w:bCs/>
          <w:i/>
          <w:iCs/>
        </w:rPr>
        <w:t>-  podklad trawy lateksowy, będący rozwiązaniem równoważnym do podkładu poliuretanowego</w:t>
      </w:r>
    </w:p>
    <w:p w14:paraId="771C14B4" w14:textId="77777777" w:rsidR="0003634D" w:rsidRPr="003B733F" w:rsidRDefault="0003634D" w:rsidP="003B733F">
      <w:pPr>
        <w:spacing w:after="0"/>
        <w:jc w:val="both"/>
        <w:rPr>
          <w:rFonts w:cstheme="minorHAnsi"/>
          <w:b/>
          <w:bCs/>
          <w:i/>
          <w:iCs/>
        </w:rPr>
      </w:pPr>
      <w:r w:rsidRPr="003B733F">
        <w:rPr>
          <w:rFonts w:cstheme="minorHAnsi"/>
          <w:b/>
          <w:bCs/>
          <w:i/>
          <w:iCs/>
        </w:rPr>
        <w:t>-  grubość włókna fibrylowanego wynosi min 116 mikronów ( 4 mikrony mniejsza od wymaganej)</w:t>
      </w:r>
    </w:p>
    <w:p w14:paraId="2ADD11C2" w14:textId="0348ACBE" w:rsidR="0003634D" w:rsidRPr="003B733F" w:rsidRDefault="0003634D" w:rsidP="003B733F">
      <w:pPr>
        <w:spacing w:after="0"/>
        <w:jc w:val="both"/>
        <w:rPr>
          <w:rFonts w:cstheme="minorHAnsi"/>
          <w:b/>
          <w:bCs/>
          <w:i/>
          <w:iCs/>
        </w:rPr>
      </w:pPr>
      <w:r w:rsidRPr="003B733F">
        <w:rPr>
          <w:rFonts w:cstheme="minorHAnsi"/>
          <w:b/>
          <w:bCs/>
          <w:i/>
          <w:iCs/>
        </w:rPr>
        <w:t>-  Zamawiający uzna raport z badań testu Lisport na min. 300.000 cykli dla włókna monofilowego oferowanej trawy syntetycznej  przeprowadzony przez niezależne laboratorium zgodnie z normą EN 15306 „Nawierzchnie do otwartych terenów sportowych – narażenie trawy na oddziaływania” potwierdzający, że włókno monofilowe po min. 300.000 cykli nie wykazuje widocznych uszkodzeń. Badanie ma być wykonane przez niezależne, akredytowane laboratorium zgodnie z ISO/IEC 17025:2018 .  Pozostałe parametry i dokumenty zgodnie z wymaganiami Zamawiającego.</w:t>
      </w:r>
    </w:p>
    <w:p w14:paraId="7A94CA60" w14:textId="739CA78D" w:rsidR="006E6601" w:rsidRPr="003B733F" w:rsidRDefault="006E6601" w:rsidP="003B733F">
      <w:pPr>
        <w:tabs>
          <w:tab w:val="num" w:pos="735"/>
        </w:tabs>
        <w:spacing w:after="0" w:line="276" w:lineRule="auto"/>
        <w:ind w:left="51"/>
        <w:jc w:val="both"/>
        <w:rPr>
          <w:rFonts w:cstheme="minorHAnsi"/>
        </w:rPr>
      </w:pPr>
    </w:p>
    <w:p w14:paraId="759E8890" w14:textId="77777777" w:rsidR="0003634D" w:rsidRPr="003B733F" w:rsidRDefault="00862B6A" w:rsidP="003B733F">
      <w:pPr>
        <w:tabs>
          <w:tab w:val="num" w:pos="735"/>
        </w:tabs>
        <w:spacing w:after="0" w:line="276" w:lineRule="auto"/>
        <w:jc w:val="both"/>
        <w:rPr>
          <w:rFonts w:cstheme="minorHAnsi"/>
        </w:rPr>
      </w:pPr>
      <w:r w:rsidRPr="003B733F">
        <w:rPr>
          <w:rFonts w:cstheme="minorHAnsi"/>
          <w:b/>
          <w:bCs/>
        </w:rPr>
        <w:t>Odpowiedź</w:t>
      </w:r>
      <w:r w:rsidRPr="003B733F">
        <w:rPr>
          <w:rFonts w:cstheme="minorHAnsi"/>
        </w:rPr>
        <w:t>:</w:t>
      </w:r>
      <w:bookmarkEnd w:id="0"/>
      <w:r w:rsidRPr="003B733F">
        <w:rPr>
          <w:rFonts w:cstheme="minorHAnsi"/>
        </w:rPr>
        <w:t xml:space="preserve"> </w:t>
      </w:r>
      <w:r w:rsidR="006E6601" w:rsidRPr="003B733F">
        <w:rPr>
          <w:rFonts w:cstheme="minorHAnsi"/>
        </w:rPr>
        <w:t xml:space="preserve"> </w:t>
      </w:r>
      <w:r w:rsidR="0003634D" w:rsidRPr="003B733F">
        <w:rPr>
          <w:rFonts w:cstheme="minorHAnsi"/>
        </w:rPr>
        <w:t>Należy przede wszystkim zaznaczyć, że przedmiotowe zamówienie dotyczy wykonania robót budowlanych a nie dostawy produktu - trawy. Zamawiający, kierując się zasadą zapewnienia najwyższej jakości inwestycji, przedstawił dokumentację, która zawiera sposób wykonania robót z określeniem parametrów technicznych materiałów przeznaczonych do wbudowania, które w jego ocenie gwarantowały maksymalną trwałość i funkcjonalność w cyklu użytkowania nawierzchni. Rozwiązania te opierają się na sprawdzonych technologiach i dotychczasowych realizacjach, przy jednoczesnym uwzględnieniu aktualnych standardów branżowych i wymogów. Zgodnie z art. Art.  102 Ustawy z dnia 11 września 2019 r. -  Prawo zamówień publicznych ( Dz. U. z 2025 r. poz. 620 ze zm.) cyt. „zamawiający określa w opisie przedmiotu zamówienia na roboty budowlane wymagane cechy materiału, produktu lub usługi, odpowiadające przeznaczeniu zamierzonemu przez zamawiającego, które mogą dotyczyć w szczególności:</w:t>
      </w:r>
    </w:p>
    <w:p w14:paraId="700E9F8B" w14:textId="34E79C85" w:rsidR="0003634D" w:rsidRPr="003B733F" w:rsidRDefault="0003634D" w:rsidP="003B733F">
      <w:pPr>
        <w:tabs>
          <w:tab w:val="num" w:pos="735"/>
        </w:tabs>
        <w:spacing w:after="0" w:line="276" w:lineRule="auto"/>
        <w:jc w:val="both"/>
        <w:rPr>
          <w:rFonts w:cstheme="minorHAnsi"/>
        </w:rPr>
      </w:pPr>
      <w:r w:rsidRPr="003B733F">
        <w:rPr>
          <w:rFonts w:cstheme="minorHAnsi"/>
        </w:rPr>
        <w:t>1)określonych poziomów oddziaływania na środowisko i klimat;</w:t>
      </w:r>
    </w:p>
    <w:p w14:paraId="714A6B26"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2)wymagań w zakresie dostępności dla osób niepełnosprawnych;</w:t>
      </w:r>
    </w:p>
    <w:p w14:paraId="4EFD79DB" w14:textId="77777777" w:rsidR="0003634D" w:rsidRPr="003B733F" w:rsidRDefault="0003634D" w:rsidP="003B733F">
      <w:pPr>
        <w:tabs>
          <w:tab w:val="num" w:pos="735"/>
        </w:tabs>
        <w:spacing w:after="0" w:line="276" w:lineRule="auto"/>
        <w:jc w:val="both"/>
        <w:rPr>
          <w:rFonts w:cstheme="minorHAnsi"/>
        </w:rPr>
      </w:pPr>
      <w:r w:rsidRPr="003B733F">
        <w:rPr>
          <w:rFonts w:cstheme="minorHAnsi"/>
        </w:rPr>
        <w:lastRenderedPageBreak/>
        <w:t>3)określonej wydajności, bezpieczeństwa lub wymiarów, w tym procedur dotyczących zapewnienia jakości;</w:t>
      </w:r>
    </w:p>
    <w:p w14:paraId="6D389382"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4)określonej terminologii, symboli, testów i metod testowania;</w:t>
      </w:r>
    </w:p>
    <w:p w14:paraId="2E7FD0F9"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5)określonego opakowania i oznakowania;</w:t>
      </w:r>
    </w:p>
    <w:p w14:paraId="7880A5EA"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6)określonej etykiety;</w:t>
      </w:r>
    </w:p>
    <w:p w14:paraId="7A69EA74"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7)instrukcji użytkowania;</w:t>
      </w:r>
    </w:p>
    <w:p w14:paraId="4C546C6F"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8)procesów i metod produkcji na każdym etapie cyklu życia obiektów budowlanych;</w:t>
      </w:r>
    </w:p>
    <w:p w14:paraId="5DD0C7BF"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9)dodatkowych badań i testów przeprowadzanych przez jednostki autoryzowane w rozumieniu ustawy z dnia 13 kwietnia 2016 r. o systemach oceny zgodności i nadzoru rynku (Dz. U. z 2022 r. poz. 1854 oraz z 2024 r. poz. 1089);</w:t>
      </w:r>
    </w:p>
    <w:p w14:paraId="2D8BDA08"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10)określonych zasad dotyczących projektowania i kosztorysowania;</w:t>
      </w:r>
    </w:p>
    <w:p w14:paraId="6938311B"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11)warunków testowania, kontroli i odbioru obiektów budowlanych;</w:t>
      </w:r>
    </w:p>
    <w:p w14:paraId="2BC0CE99"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12)metod i technik budowy;</w:t>
      </w:r>
    </w:p>
    <w:p w14:paraId="1EC28BBE"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13)wszelkich pozostałych warunków technicznych”.</w:t>
      </w:r>
    </w:p>
    <w:p w14:paraId="2877A86E" w14:textId="77777777" w:rsidR="0003634D" w:rsidRPr="003B733F" w:rsidRDefault="0003634D" w:rsidP="003B733F">
      <w:pPr>
        <w:tabs>
          <w:tab w:val="num" w:pos="735"/>
        </w:tabs>
        <w:spacing w:after="0" w:line="276" w:lineRule="auto"/>
        <w:jc w:val="both"/>
        <w:rPr>
          <w:rFonts w:cstheme="minorHAnsi"/>
        </w:rPr>
      </w:pPr>
      <w:r w:rsidRPr="003B733F">
        <w:rPr>
          <w:rFonts w:cstheme="minorHAnsi"/>
        </w:rPr>
        <w:t xml:space="preserve">Dodatkowo mając na uwadze art. 99 – Ustawy PzP zamawiający przedstawiając przedmiot zamówienia -  nie opisuje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Zatem Zamawiający nie preferuje żadnego konkretnego producenta, a jego działania mają na celu zabezpieczenie interesu publicznego poprzez zapewnienie trwałości i jakości inwestycji. Z informacji powziętych przez Zamawiającego wynika, że na rynku jest co najmniej kilku producentów spełniających wymogi zawarte w dokumentacji przetargowej. Mimo to, celem zwiększenia konkurencyjności, Zamawiający wprowadza częściowe zmiany w PFU oraz STWIOR. </w:t>
      </w:r>
    </w:p>
    <w:p w14:paraId="1185447A" w14:textId="5A669A9A" w:rsidR="0003634D" w:rsidRPr="003B733F" w:rsidRDefault="0003634D" w:rsidP="003B733F">
      <w:pPr>
        <w:tabs>
          <w:tab w:val="num" w:pos="735"/>
        </w:tabs>
        <w:spacing w:after="0" w:line="276" w:lineRule="auto"/>
        <w:jc w:val="both"/>
        <w:rPr>
          <w:rFonts w:cstheme="minorHAnsi"/>
        </w:rPr>
      </w:pPr>
      <w:r w:rsidRPr="003B733F">
        <w:rPr>
          <w:rFonts w:cstheme="minorHAnsi"/>
        </w:rPr>
        <w:t>a) Dla Użytkowników/Inwestorów oczekujących najwyższej trwałości, komfortu, estetyki i bezpieczeństwa zdrowotnego, szczególnie przy intensywnym użytkowaniu (dzieci, zwierzęta, klimat), PU lub PP/PE ma zdecydowaną przewagą nad tradycyjnym SBR-lateksowym spodem. Zamawiający nie akceptuje tzw. SBR do zasypu sztucznej trawy ze względu na bezpieczeństwo użytkowników. Z podobnych powodów Zamawiający wymaga spód trawy wykonany z PU lub PP/PE (zgodnie z dokumentacją załączona do postępowania), zamiast spodu lateksowego który jest z domieszką właśnie SBR-u. Wg wiedzy Zamawiającego większość producentów sztucznych traw posiada w swojej ofercie produkty z także ze spodem z PU lub PP/PE. W ramach poszerzenia konkurencyjności Zamawiający dopuszcza spód tzw. PP/PE - poliolefinowy jako rodzaj spodu ekologicznego. Spód lateksowy NIE jest dopuszczony.</w:t>
      </w:r>
    </w:p>
    <w:p w14:paraId="40A0BEDB" w14:textId="6DDD65B9" w:rsidR="0003634D" w:rsidRPr="003B733F" w:rsidRDefault="0003634D" w:rsidP="003B733F">
      <w:pPr>
        <w:tabs>
          <w:tab w:val="num" w:pos="735"/>
        </w:tabs>
        <w:spacing w:after="0" w:line="276" w:lineRule="auto"/>
        <w:jc w:val="both"/>
        <w:rPr>
          <w:rFonts w:cstheme="minorHAnsi"/>
        </w:rPr>
      </w:pPr>
      <w:r w:rsidRPr="003B733F">
        <w:rPr>
          <w:rFonts w:cstheme="minorHAnsi"/>
        </w:rPr>
        <w:t>b)</w:t>
      </w:r>
      <w:r w:rsidR="003B733F">
        <w:rPr>
          <w:rFonts w:cstheme="minorHAnsi"/>
        </w:rPr>
        <w:t xml:space="preserve"> </w:t>
      </w:r>
      <w:r w:rsidRPr="003B733F">
        <w:rPr>
          <w:rFonts w:cstheme="minorHAnsi"/>
        </w:rPr>
        <w:t>Zamawiający dopuszcza minimalną grubość włókna fibrylowanego na poziomie 116 mikronów (zmieniono STWIOR i PFU)</w:t>
      </w:r>
    </w:p>
    <w:p w14:paraId="34966BCD" w14:textId="123C7881" w:rsidR="009D55F4" w:rsidRPr="003B733F" w:rsidRDefault="0003634D" w:rsidP="003B733F">
      <w:pPr>
        <w:tabs>
          <w:tab w:val="num" w:pos="735"/>
        </w:tabs>
        <w:spacing w:after="0" w:line="276" w:lineRule="auto"/>
        <w:jc w:val="both"/>
        <w:rPr>
          <w:rFonts w:cstheme="minorHAnsi"/>
          <w:b/>
          <w:bCs/>
          <w:sz w:val="24"/>
          <w:szCs w:val="24"/>
        </w:rPr>
      </w:pPr>
      <w:r w:rsidRPr="003B733F">
        <w:rPr>
          <w:rFonts w:cstheme="minorHAnsi"/>
        </w:rPr>
        <w:t>c)</w:t>
      </w:r>
      <w:r w:rsidR="003B733F">
        <w:rPr>
          <w:rFonts w:cstheme="minorHAnsi"/>
        </w:rPr>
        <w:t xml:space="preserve"> </w:t>
      </w:r>
      <w:r w:rsidRPr="003B733F">
        <w:rPr>
          <w:rFonts w:cstheme="minorHAnsi"/>
        </w:rPr>
        <w:t>Zamawiający uzna raport z badań testu Lisport na min. 300.000 cykli dla włókna monofilowego oferowanej trawy syntetycznej (zmieniono STWIOR i PFU)</w:t>
      </w:r>
    </w:p>
    <w:p w14:paraId="4D2DA3CE" w14:textId="77777777" w:rsidR="00CE40DC" w:rsidRPr="003B733F" w:rsidRDefault="00CE40DC" w:rsidP="003B733F">
      <w:pPr>
        <w:spacing w:after="0"/>
        <w:jc w:val="both"/>
        <w:rPr>
          <w:rFonts w:cstheme="minorHAnsi"/>
        </w:rPr>
      </w:pPr>
    </w:p>
    <w:p w14:paraId="76545BAE" w14:textId="77777777" w:rsidR="0003634D" w:rsidRPr="003B733F" w:rsidRDefault="00CE40DC" w:rsidP="003B733F">
      <w:pPr>
        <w:autoSpaceDE w:val="0"/>
        <w:autoSpaceDN w:val="0"/>
        <w:adjustRightInd w:val="0"/>
        <w:spacing w:after="0" w:line="240" w:lineRule="auto"/>
        <w:jc w:val="both"/>
        <w:rPr>
          <w:rFonts w:cstheme="minorHAnsi"/>
          <w:b/>
          <w:bCs/>
          <w:i/>
          <w:iCs/>
          <w:sz w:val="24"/>
          <w:szCs w:val="24"/>
        </w:rPr>
      </w:pPr>
      <w:r w:rsidRPr="003B733F">
        <w:rPr>
          <w:rFonts w:cstheme="minorHAnsi"/>
          <w:b/>
          <w:bCs/>
          <w:i/>
          <w:iCs/>
          <w:u w:val="single"/>
        </w:rPr>
        <w:t>Pytanie 2</w:t>
      </w:r>
      <w:r w:rsidRPr="003B733F">
        <w:rPr>
          <w:rFonts w:cstheme="minorHAnsi"/>
          <w:b/>
          <w:bCs/>
          <w:i/>
          <w:iCs/>
        </w:rPr>
        <w:t xml:space="preserve">. </w:t>
      </w:r>
      <w:r w:rsidR="0003634D" w:rsidRPr="003B733F">
        <w:rPr>
          <w:rFonts w:cstheme="minorHAnsi"/>
          <w:b/>
          <w:bCs/>
          <w:i/>
          <w:iCs/>
          <w:sz w:val="24"/>
          <w:szCs w:val="24"/>
        </w:rPr>
        <w:t>Prosimy o wyjaśnienie, dlaczego Zamawiający tak opisał minimalne parametry</w:t>
      </w:r>
    </w:p>
    <w:p w14:paraId="19FA26D8" w14:textId="2EA9C84A" w:rsidR="0003634D" w:rsidRPr="003B733F" w:rsidRDefault="0003634D" w:rsidP="003B733F">
      <w:pPr>
        <w:autoSpaceDE w:val="0"/>
        <w:autoSpaceDN w:val="0"/>
        <w:adjustRightInd w:val="0"/>
        <w:spacing w:after="0" w:line="240" w:lineRule="auto"/>
        <w:jc w:val="both"/>
        <w:rPr>
          <w:rFonts w:cstheme="minorHAnsi"/>
          <w:b/>
          <w:bCs/>
          <w:i/>
          <w:iCs/>
          <w:sz w:val="24"/>
          <w:szCs w:val="24"/>
        </w:rPr>
      </w:pPr>
      <w:r w:rsidRPr="003B733F">
        <w:rPr>
          <w:rFonts w:cstheme="minorHAnsi"/>
          <w:b/>
          <w:bCs/>
          <w:i/>
          <w:iCs/>
          <w:sz w:val="24"/>
          <w:szCs w:val="24"/>
        </w:rPr>
        <w:t xml:space="preserve">i dokumenty, że wymogi te może spłnić tylko jeden producent tj. firma Act Global. Poprzez wskazanie minimalnych parametrów (które mimo tego, że są opisane jako minimalne, to nie ma innego producenta oprócz ACT Global, który je spełnia) rodzi domniemanie, że Zamawiający świadomie lub nieświadomie wprowadził zapisy niezgodne z ustawą PZP (Prawo Zamówień Publicznych) i skutecznie ogranicza konkurencję, uniemożliwiając wzięcie udziału w postępowaniu innym podmiotom, kóre oferują rozwiązania stosowane na </w:t>
      </w:r>
      <w:r w:rsidRPr="003B733F">
        <w:rPr>
          <w:rFonts w:cstheme="minorHAnsi"/>
          <w:b/>
          <w:bCs/>
          <w:i/>
          <w:iCs/>
          <w:sz w:val="24"/>
          <w:szCs w:val="24"/>
        </w:rPr>
        <w:lastRenderedPageBreak/>
        <w:t>boiskach certyfikowanych przez FIFA. W związku z powyższym, stawiamy pytanie, czy Zamawiający, uświadomiony o powyższym fakcie uzna za równoważne rozwiązanie, które będzie posiadało wszystkie kluczowe parametry wyższe od wymaganych z uwzględnieniem poniższych zmian w zakresie dopuszczenia przez Zamawiającego:</w:t>
      </w:r>
    </w:p>
    <w:p w14:paraId="2CB0DC46" w14:textId="77777777" w:rsidR="0003634D" w:rsidRPr="003B733F" w:rsidRDefault="0003634D" w:rsidP="003B733F">
      <w:pPr>
        <w:autoSpaceDE w:val="0"/>
        <w:autoSpaceDN w:val="0"/>
        <w:adjustRightInd w:val="0"/>
        <w:spacing w:after="0" w:line="240" w:lineRule="auto"/>
        <w:jc w:val="both"/>
        <w:rPr>
          <w:rFonts w:cstheme="minorHAnsi"/>
          <w:b/>
          <w:bCs/>
          <w:i/>
          <w:iCs/>
          <w:sz w:val="24"/>
          <w:szCs w:val="24"/>
        </w:rPr>
      </w:pPr>
      <w:r w:rsidRPr="003B733F">
        <w:rPr>
          <w:rFonts w:cstheme="minorHAnsi"/>
          <w:b/>
          <w:bCs/>
          <w:i/>
          <w:iCs/>
          <w:sz w:val="24"/>
          <w:szCs w:val="24"/>
        </w:rPr>
        <w:t>- grubości włókna fibrylowanego min 116 mikronów</w:t>
      </w:r>
    </w:p>
    <w:p w14:paraId="2F715164" w14:textId="1FBC6475" w:rsidR="0003634D" w:rsidRPr="003B733F" w:rsidRDefault="0003634D" w:rsidP="003B733F">
      <w:pPr>
        <w:autoSpaceDE w:val="0"/>
        <w:autoSpaceDN w:val="0"/>
        <w:adjustRightInd w:val="0"/>
        <w:spacing w:after="0" w:line="240" w:lineRule="auto"/>
        <w:jc w:val="both"/>
        <w:rPr>
          <w:rFonts w:cstheme="minorHAnsi"/>
          <w:b/>
          <w:bCs/>
          <w:i/>
          <w:iCs/>
          <w:sz w:val="24"/>
          <w:szCs w:val="24"/>
        </w:rPr>
      </w:pPr>
      <w:r w:rsidRPr="003B733F">
        <w:rPr>
          <w:rFonts w:cstheme="minorHAnsi"/>
          <w:b/>
          <w:bCs/>
          <w:i/>
          <w:iCs/>
          <w:sz w:val="24"/>
          <w:szCs w:val="24"/>
        </w:rPr>
        <w:t>- trawa będzie miała podkład lateksowy (latex jest produktem bardziej elastycznym dzięki czemu podkląd w niskich temteraturach nie będzie się łamał ani pękał)</w:t>
      </w:r>
    </w:p>
    <w:p w14:paraId="76569221" w14:textId="3DC2CE61" w:rsidR="0003634D" w:rsidRPr="003B733F" w:rsidRDefault="0003634D" w:rsidP="003B733F">
      <w:pPr>
        <w:autoSpaceDE w:val="0"/>
        <w:autoSpaceDN w:val="0"/>
        <w:adjustRightInd w:val="0"/>
        <w:spacing w:after="0" w:line="240" w:lineRule="auto"/>
        <w:jc w:val="both"/>
        <w:rPr>
          <w:rFonts w:cstheme="minorHAnsi"/>
          <w:b/>
          <w:bCs/>
          <w:i/>
          <w:iCs/>
          <w:sz w:val="24"/>
          <w:szCs w:val="24"/>
        </w:rPr>
      </w:pPr>
      <w:r w:rsidRPr="003B733F">
        <w:rPr>
          <w:rFonts w:cstheme="minorHAnsi"/>
          <w:b/>
          <w:bCs/>
          <w:i/>
          <w:iCs/>
          <w:sz w:val="24"/>
          <w:szCs w:val="24"/>
        </w:rPr>
        <w:t>- zamiast bezwartościowego raportu z badań testu Lisport na min. 500.000 cykli dla włókna oferowanej trawy syntetycznej przeprowadzony przez niezależne laboratorium zgodnie z normą EN 15306 „Nawierzchnie do otwartych terenów sportowych – narażenie trawy na oddziaływania”. Badanie musi być wydane przez laboratorium niezależne, akredytowane zgodnie z ISO/IEC 17025 będzie przedłożony poprawny raport: raport z badań testu Lisport na min. 300.000 cykli dla włókna monofilowego oferowanej trawy syntetycznej przeprowadzony przez niezależne laboratorium zgodnie z normą EN 15306 „Nawierzchnie do otwartych terenów sportowych – narażenie trawy na oddziaływania” potwierdzający, że włókno monofilowe po min. 300.000 cykli nie wykazuje widocznych uszkodzeń. Badanie ma być wykonane przez niezależne, akredytowane laboratorium zgodnie z ISO/IEC</w:t>
      </w:r>
    </w:p>
    <w:p w14:paraId="17543EFE" w14:textId="7230EE7A" w:rsidR="00CE40DC" w:rsidRPr="003B733F" w:rsidRDefault="0003634D" w:rsidP="003B733F">
      <w:pPr>
        <w:spacing w:after="0"/>
        <w:jc w:val="both"/>
        <w:rPr>
          <w:rFonts w:cstheme="minorHAnsi"/>
          <w:i/>
          <w:iCs/>
        </w:rPr>
      </w:pPr>
      <w:r w:rsidRPr="003B733F">
        <w:rPr>
          <w:rFonts w:cstheme="minorHAnsi"/>
          <w:sz w:val="24"/>
          <w:szCs w:val="24"/>
        </w:rPr>
        <w:t>17025:2018.</w:t>
      </w:r>
    </w:p>
    <w:p w14:paraId="09229CFA" w14:textId="1966A6E9" w:rsidR="0003634D" w:rsidRPr="003B733F" w:rsidRDefault="00CE40DC" w:rsidP="003B733F">
      <w:pPr>
        <w:spacing w:after="0"/>
        <w:jc w:val="both"/>
        <w:rPr>
          <w:rFonts w:cstheme="minorHAnsi"/>
        </w:rPr>
      </w:pPr>
      <w:bookmarkStart w:id="1" w:name="_Hlk203481924"/>
      <w:r w:rsidRPr="003B733F">
        <w:rPr>
          <w:rFonts w:cstheme="minorHAnsi"/>
          <w:b/>
          <w:bCs/>
        </w:rPr>
        <w:t>Odpowiedź:</w:t>
      </w:r>
      <w:bookmarkEnd w:id="1"/>
      <w:r w:rsidRPr="003B733F">
        <w:rPr>
          <w:rFonts w:cstheme="minorHAnsi"/>
          <w:b/>
          <w:bCs/>
        </w:rPr>
        <w:t xml:space="preserve"> </w:t>
      </w:r>
      <w:r w:rsidR="0003634D" w:rsidRPr="003B733F">
        <w:rPr>
          <w:rFonts w:cstheme="minorHAnsi"/>
        </w:rPr>
        <w:t>. Należy przede wszystkim zaznaczyć, że przedmiotowe zamówienie dotyczy wykonania robót budowlanych a nie dostawy produktu - trawy. Zamawiający, kierując się zasadą zapewnienia najwyższej jakości inwestycji, przedstawił dokumentację, która zawiera sposób wykonania robót z określeniem parametrów technicznych materiałów przeznaczonych do wbudowania, które w jego ocenie gwarantowały maksymalną trwałość i funkcjonalność w cyklu użytkowania nawierzchni. Rozwiązania te opierają się na sprawdzonych technologiach i dotychczasowych realizacjach, przy jednoczesnym uwzględnieniu aktualnych standardów branżowych i wymogów. Zgodnie z art. Art.  102 Ustawy z dnia 11 września 2019 r. -  Prawo zamówień publicznych ( Dz. U. z 2025 r. poz. 620 ze zm.) cyt. „zamawiający określa w opisie przedmiotu zamówienia na roboty budowlane wymagane cechy materiału, produktu lub usługi, odpowiadające przeznaczeniu zamierzonemu przez zamawiającego, które mogą dotyczyć w szczególności:</w:t>
      </w:r>
    </w:p>
    <w:p w14:paraId="269D00F4" w14:textId="77777777" w:rsidR="0003634D" w:rsidRPr="003B733F" w:rsidRDefault="0003634D" w:rsidP="003B733F">
      <w:pPr>
        <w:spacing w:after="0"/>
        <w:jc w:val="both"/>
        <w:rPr>
          <w:rFonts w:cstheme="minorHAnsi"/>
        </w:rPr>
      </w:pPr>
      <w:r w:rsidRPr="003B733F">
        <w:rPr>
          <w:rFonts w:cstheme="minorHAnsi"/>
        </w:rPr>
        <w:t>1)określonych poziomów oddziaływania na środowisko i klimat;</w:t>
      </w:r>
    </w:p>
    <w:p w14:paraId="703A507A" w14:textId="77777777" w:rsidR="0003634D" w:rsidRPr="003B733F" w:rsidRDefault="0003634D" w:rsidP="003B733F">
      <w:pPr>
        <w:spacing w:after="0"/>
        <w:jc w:val="both"/>
        <w:rPr>
          <w:rFonts w:cstheme="minorHAnsi"/>
        </w:rPr>
      </w:pPr>
      <w:r w:rsidRPr="003B733F">
        <w:rPr>
          <w:rFonts w:cstheme="minorHAnsi"/>
        </w:rPr>
        <w:t>2)wymagań w zakresie dostępności dla osób niepełnosprawnych;</w:t>
      </w:r>
    </w:p>
    <w:p w14:paraId="23177A7E" w14:textId="6FF82E97" w:rsidR="0003634D" w:rsidRPr="003B733F" w:rsidRDefault="0003634D" w:rsidP="003B733F">
      <w:pPr>
        <w:spacing w:after="0"/>
        <w:jc w:val="both"/>
        <w:rPr>
          <w:rFonts w:cstheme="minorHAnsi"/>
          <w:color w:val="000000" w:themeColor="text1"/>
        </w:rPr>
      </w:pPr>
      <w:r w:rsidRPr="003B733F">
        <w:rPr>
          <w:rFonts w:cstheme="minorHAnsi"/>
        </w:rPr>
        <w:t xml:space="preserve">3)określonej wydajności, bezpieczeństwa lub wymiarów, w tym procedur dotyczących zapewnienia </w:t>
      </w:r>
      <w:r w:rsidRPr="003B733F">
        <w:rPr>
          <w:rFonts w:cstheme="minorHAnsi"/>
          <w:color w:val="000000" w:themeColor="text1"/>
        </w:rPr>
        <w:t>jakości;</w:t>
      </w:r>
    </w:p>
    <w:p w14:paraId="73A26E76"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4)określonej terminologii, symboli, testów i metod testowania;</w:t>
      </w:r>
    </w:p>
    <w:p w14:paraId="39749184"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5)określonego opakowania i oznakowania;</w:t>
      </w:r>
    </w:p>
    <w:p w14:paraId="47FF371D"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6)określonej etykiety;</w:t>
      </w:r>
    </w:p>
    <w:p w14:paraId="24F23C49"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7)instrukcji użytkowania;</w:t>
      </w:r>
    </w:p>
    <w:p w14:paraId="7BFF93CF"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8)procesów i metod produkcji na każdym etapie cyklu życia obiektów budowlanych;</w:t>
      </w:r>
    </w:p>
    <w:p w14:paraId="16D65D7E"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9)dodatkowych badań i testów przeprowadzanych przez jednostki autoryzowane w rozumieniu ustawy z dnia 13 kwietnia 2016 r. o systemach oceny zgodności i nadzoru rynku (Dz. U. z 2022 r. poz. 1854 oraz z 2024 r. poz. 1089);</w:t>
      </w:r>
    </w:p>
    <w:p w14:paraId="38CD76D4"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10)określonych zasad dotyczących projektowania i kosztorysowania;</w:t>
      </w:r>
    </w:p>
    <w:p w14:paraId="3D546481"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11)warunków testowania, kontroli i odbioru obiektów budowlanych;</w:t>
      </w:r>
    </w:p>
    <w:p w14:paraId="69A07942"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12)metod i technik budowy;</w:t>
      </w:r>
    </w:p>
    <w:p w14:paraId="4C58D55B"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13)wszelkich pozostałych warunków technicznych”.</w:t>
      </w:r>
    </w:p>
    <w:p w14:paraId="06FDF1FB" w14:textId="77777777" w:rsidR="0003634D" w:rsidRPr="003B733F" w:rsidRDefault="0003634D" w:rsidP="003B733F">
      <w:pPr>
        <w:spacing w:after="0"/>
        <w:jc w:val="both"/>
        <w:rPr>
          <w:rFonts w:cstheme="minorHAnsi"/>
          <w:color w:val="000000" w:themeColor="text1"/>
        </w:rPr>
      </w:pPr>
      <w:r w:rsidRPr="003B733F">
        <w:rPr>
          <w:rFonts w:cstheme="minorHAnsi"/>
          <w:color w:val="000000" w:themeColor="text1"/>
        </w:rPr>
        <w:t xml:space="preserve">Dodatkowo mając na uwadze art. 99 – Ustawy PzP zamawiający przedstawiając przedmiot zamówienia -  nie opisuje w sposób, który mógłby utrudniać uczciwą konkurencję, w szczególności przez wskazanie znaków towarowych, patentów lub pochodzenia, źródła lub szczególnego procesu, który </w:t>
      </w:r>
      <w:r w:rsidRPr="003B733F">
        <w:rPr>
          <w:rFonts w:cstheme="minorHAnsi"/>
          <w:color w:val="000000" w:themeColor="text1"/>
        </w:rPr>
        <w:lastRenderedPageBreak/>
        <w:t xml:space="preserve">charakteryzuje produkty lub usługi dostarczane przez konkretnego wykonawcę, jeżeli mogłoby to doprowadzić do uprzywilejowania lub wyeliminowania niektórych wykonawców lub produktów. Zatem Zamawiający nie preferuje żadnego konkretnego wykonawcy robót budowlanych, a jego działania mają na celu zabezpieczenie interesu publicznego poprzez zapewnienie trwałości i jakości inwestycji. Z informacji powziętych przez Zamawiającego wynika, że na rynku jest co najmniej kilku producentów spełniających wymogi zawarte w dokumentacji przetargowej. Mimo to, celem zwiększenia konkurencyjności, Zamawiający wprowadza częściowe zmiany w PFU oraz STWIOR. </w:t>
      </w:r>
    </w:p>
    <w:p w14:paraId="5738EF91" w14:textId="703761F3" w:rsidR="0003634D" w:rsidRPr="003B733F" w:rsidRDefault="0003634D" w:rsidP="003B733F">
      <w:pPr>
        <w:spacing w:after="0"/>
        <w:jc w:val="both"/>
        <w:rPr>
          <w:rFonts w:cstheme="minorHAnsi"/>
          <w:color w:val="000000" w:themeColor="text1"/>
        </w:rPr>
      </w:pPr>
      <w:r w:rsidRPr="003B733F">
        <w:rPr>
          <w:rFonts w:cstheme="minorHAnsi"/>
          <w:color w:val="000000" w:themeColor="text1"/>
        </w:rPr>
        <w:t>a)</w:t>
      </w:r>
      <w:r w:rsidR="00363062">
        <w:rPr>
          <w:rFonts w:cstheme="minorHAnsi"/>
          <w:color w:val="000000" w:themeColor="text1"/>
        </w:rPr>
        <w:t xml:space="preserve"> </w:t>
      </w:r>
      <w:r w:rsidRPr="003B733F">
        <w:rPr>
          <w:rFonts w:cstheme="minorHAnsi"/>
          <w:color w:val="000000" w:themeColor="text1"/>
        </w:rPr>
        <w:t>Zamawiający dopuszcza minimalna grubość włókna fibrylowanego na poziomie 116 mikronów (zmieniono STWIOR i PFU)</w:t>
      </w:r>
    </w:p>
    <w:p w14:paraId="3E4B6F28" w14:textId="2DA21A1F" w:rsidR="0003634D" w:rsidRPr="003B733F" w:rsidRDefault="0003634D" w:rsidP="003B733F">
      <w:pPr>
        <w:spacing w:after="0"/>
        <w:jc w:val="both"/>
        <w:rPr>
          <w:rFonts w:cstheme="minorHAnsi"/>
          <w:color w:val="000000" w:themeColor="text1"/>
        </w:rPr>
      </w:pPr>
      <w:r w:rsidRPr="003B733F">
        <w:rPr>
          <w:rFonts w:cstheme="minorHAnsi"/>
          <w:color w:val="000000" w:themeColor="text1"/>
        </w:rPr>
        <w:t>b)</w:t>
      </w:r>
      <w:r w:rsidR="00363062">
        <w:rPr>
          <w:rFonts w:cstheme="minorHAnsi"/>
          <w:color w:val="000000" w:themeColor="text1"/>
        </w:rPr>
        <w:t xml:space="preserve"> </w:t>
      </w:r>
      <w:r w:rsidRPr="003B733F">
        <w:rPr>
          <w:rFonts w:cstheme="minorHAnsi"/>
          <w:color w:val="000000" w:themeColor="text1"/>
        </w:rPr>
        <w:t>Dla Użytkowników/Inwestorów oczekujących najwyższej trwałości, komfortu, estetyki i bezpieczeństwa zdrowotnego, szczególnie przy intensywnym użytkowaniu (dzieci, zwierzęta, klimat), PU jest zdecydowaną przewagą nad tradycyjnym SBR-lateksowym spodem. Zamawiający nie akceptuje tzw. SBR do zasypu sztucznej trawy ze względu na bezpieczeństwo użytkowników. Z podobnych powodów Zamawiający wymaga spód trawy wykonany z PU lub PP/PE (zgodnie z dokumentacją załączona do postępowania), zamiast spodu lateksowego który jest z domieszką właśnie SBR-u. Wg wiedzy Zamawiającego większość producentów sztucznych traw posiada w swojej ofercie produkty z także ze spodem z PU lub PP/PE. W ramach poszerzenia konkurencyjności Zamawiający dopuszcza spód tzw. PP/PE - poliolefinowy jako rodzaj spodu ekologicznego. Spód lateksowy NIE jest dopuszczony.</w:t>
      </w:r>
    </w:p>
    <w:p w14:paraId="0C27EDCD" w14:textId="3B481DE6" w:rsidR="00CE40DC" w:rsidRPr="003B733F" w:rsidRDefault="0003634D" w:rsidP="003B733F">
      <w:pPr>
        <w:spacing w:after="0"/>
        <w:jc w:val="both"/>
        <w:rPr>
          <w:rFonts w:cstheme="minorHAnsi"/>
          <w:color w:val="000000" w:themeColor="text1"/>
        </w:rPr>
      </w:pPr>
      <w:r w:rsidRPr="003B733F">
        <w:rPr>
          <w:rFonts w:cstheme="minorHAnsi"/>
          <w:color w:val="000000" w:themeColor="text1"/>
        </w:rPr>
        <w:t>c)</w:t>
      </w:r>
      <w:r w:rsidR="00363062">
        <w:rPr>
          <w:rFonts w:cstheme="minorHAnsi"/>
          <w:color w:val="000000" w:themeColor="text1"/>
        </w:rPr>
        <w:t xml:space="preserve"> </w:t>
      </w:r>
      <w:r w:rsidRPr="003B733F">
        <w:rPr>
          <w:rFonts w:cstheme="minorHAnsi"/>
          <w:color w:val="000000" w:themeColor="text1"/>
        </w:rPr>
        <w:t>Testy Lisport to badanie sztucznej trawy pod kątem odporności na intensywne użytkowanie. Dla Zamawiającego raport z tych badań nie jest bezwartościowy. Maszyna Lisport symuluje warunki zużycia trawy poprzez zastosowanie wałków zakończonych korkami butów piłkarskich. Wymóg 500 tys. cykli testu Lisport to obecny standard wysokiej trwałości i odporności na intensywne użytkowanie – gwarantuje długą żywotność nawierzchni i obniżone koszty eksploatacyjne przez wiele lat. Zapewnia trwałość i długowieczność trawy. Ogranicza koszty utrzymania i ryzyko ewentualnych reklamacji. Testy Lisport są zgodne z międzynarodowymi standardami (FIFA, World Rugby).</w:t>
      </w:r>
      <w:r w:rsidR="00363062">
        <w:rPr>
          <w:rFonts w:cstheme="minorHAnsi"/>
          <w:color w:val="000000" w:themeColor="text1"/>
        </w:rPr>
        <w:t xml:space="preserve"> </w:t>
      </w:r>
      <w:r w:rsidRPr="003B733F">
        <w:rPr>
          <w:rFonts w:cstheme="minorHAnsi"/>
          <w:color w:val="000000" w:themeColor="text1"/>
        </w:rPr>
        <w:t>Mimo to, wychodząc naprzeciw oczekiwaniom producentów oraz rozszerzając konkurencyjność, Zamawiający dopuści raport z badań testu Lisport na min. 300.000 cykli dla włókna monofilowego oferowanej trawy syntetycznej.</w:t>
      </w:r>
    </w:p>
    <w:p w14:paraId="06B9C9E2" w14:textId="77777777" w:rsidR="00CE40DC" w:rsidRPr="003B733F" w:rsidRDefault="00CE40DC" w:rsidP="003B733F">
      <w:pPr>
        <w:spacing w:after="0"/>
        <w:jc w:val="both"/>
        <w:rPr>
          <w:rStyle w:val="fontstyle01"/>
          <w:rFonts w:asciiTheme="minorHAnsi" w:hAnsiTheme="minorHAnsi" w:cstheme="minorHAnsi"/>
          <w:i/>
          <w:color w:val="000000" w:themeColor="text1"/>
          <w:sz w:val="22"/>
          <w:szCs w:val="22"/>
        </w:rPr>
      </w:pPr>
    </w:p>
    <w:p w14:paraId="6C07B705" w14:textId="6BB0A6A4" w:rsidR="0003634D" w:rsidRPr="00363062" w:rsidRDefault="0003634D" w:rsidP="003B733F">
      <w:pPr>
        <w:autoSpaceDE w:val="0"/>
        <w:autoSpaceDN w:val="0"/>
        <w:adjustRightInd w:val="0"/>
        <w:spacing w:after="0" w:line="240" w:lineRule="auto"/>
        <w:jc w:val="both"/>
        <w:rPr>
          <w:rFonts w:cstheme="minorHAnsi"/>
          <w:b/>
          <w:bCs/>
          <w:i/>
          <w:iCs/>
          <w:color w:val="000000" w:themeColor="text1"/>
        </w:rPr>
      </w:pPr>
      <w:bookmarkStart w:id="2" w:name="_Hlk203481955"/>
      <w:r w:rsidRPr="003B733F">
        <w:rPr>
          <w:rStyle w:val="fontstyle01"/>
          <w:rFonts w:asciiTheme="minorHAnsi" w:hAnsiTheme="minorHAnsi" w:cstheme="minorHAnsi"/>
          <w:b/>
          <w:bCs/>
          <w:i/>
          <w:color w:val="000000" w:themeColor="text1"/>
          <w:sz w:val="22"/>
          <w:szCs w:val="22"/>
          <w:u w:val="single"/>
        </w:rPr>
        <w:t xml:space="preserve">Pytanie 3. </w:t>
      </w:r>
      <w:bookmarkEnd w:id="2"/>
      <w:r w:rsidRPr="00363062">
        <w:rPr>
          <w:rFonts w:cstheme="minorHAnsi"/>
          <w:b/>
          <w:bCs/>
          <w:i/>
          <w:iCs/>
          <w:color w:val="000000" w:themeColor="text1"/>
        </w:rPr>
        <w:t>Jako producent traw syntetycznych posiadający najwyższy status nadawany przez FIFA tj. producenta preferowango przez FIFA, z licznymi realizacjami na świecie i w Polsce, w tym z wieloma boiskami certyfikowanymi przez FIFA na poziomie FIFA Quality Pro i Quality, prosimy o wyjaśnienie, czy zamawiający uzna za równoważną grubość włókna fibrylowanego 116 mikronów zamiast 120 mikronów? Rozszerzając wiedzę zamawiającego na temat traw syntetycznych informujemy, że 4 mikrony różnicy nie wpłyną na parametry użytkowe, sportowe , jakościowe ani funkcjonalne nawierzchni.</w:t>
      </w:r>
    </w:p>
    <w:p w14:paraId="228C15BD" w14:textId="77777777" w:rsidR="008B7601" w:rsidRDefault="008B7601" w:rsidP="003B733F">
      <w:pPr>
        <w:autoSpaceDE w:val="0"/>
        <w:autoSpaceDN w:val="0"/>
        <w:adjustRightInd w:val="0"/>
        <w:spacing w:after="0" w:line="240" w:lineRule="auto"/>
        <w:jc w:val="both"/>
        <w:rPr>
          <w:rFonts w:cstheme="minorHAnsi"/>
          <w:b/>
          <w:bCs/>
          <w:color w:val="000000" w:themeColor="text1"/>
        </w:rPr>
      </w:pPr>
    </w:p>
    <w:p w14:paraId="598279D7" w14:textId="77777777" w:rsidR="0003634D" w:rsidRPr="003B733F" w:rsidRDefault="0003634D" w:rsidP="003B733F">
      <w:pPr>
        <w:autoSpaceDE w:val="0"/>
        <w:autoSpaceDN w:val="0"/>
        <w:adjustRightInd w:val="0"/>
        <w:spacing w:after="0" w:line="240" w:lineRule="auto"/>
        <w:jc w:val="both"/>
        <w:rPr>
          <w:rFonts w:cstheme="minorHAnsi"/>
          <w:b/>
          <w:bCs/>
          <w:color w:val="000000" w:themeColor="text1"/>
        </w:rPr>
      </w:pPr>
    </w:p>
    <w:p w14:paraId="02837E61" w14:textId="77777777" w:rsidR="008B7601" w:rsidRPr="003B733F" w:rsidRDefault="0003634D" w:rsidP="008B7601">
      <w:pPr>
        <w:autoSpaceDE w:val="0"/>
        <w:autoSpaceDN w:val="0"/>
        <w:adjustRightInd w:val="0"/>
        <w:spacing w:after="0" w:line="240" w:lineRule="auto"/>
        <w:jc w:val="both"/>
        <w:rPr>
          <w:rFonts w:cstheme="minorHAnsi"/>
          <w:b/>
          <w:bCs/>
          <w:color w:val="000000" w:themeColor="text1"/>
        </w:rPr>
      </w:pPr>
      <w:bookmarkStart w:id="3" w:name="_Hlk203482009"/>
      <w:r w:rsidRPr="003B733F">
        <w:rPr>
          <w:rFonts w:cstheme="minorHAnsi"/>
          <w:b/>
          <w:bCs/>
          <w:color w:val="000000" w:themeColor="text1"/>
        </w:rPr>
        <w:t>Odpowiedź</w:t>
      </w:r>
      <w:bookmarkEnd w:id="3"/>
      <w:r w:rsidRPr="008B7601">
        <w:rPr>
          <w:rFonts w:cstheme="minorHAnsi"/>
          <w:color w:val="000000" w:themeColor="text1"/>
        </w:rPr>
        <w:t>:</w:t>
      </w:r>
      <w:r w:rsidRPr="008B7601">
        <w:rPr>
          <w:rFonts w:eastAsia="Calibri" w:cstheme="minorHAnsi"/>
          <w:color w:val="000000" w:themeColor="text1"/>
          <w:kern w:val="2"/>
          <w:sz w:val="24"/>
          <w:szCs w:val="24"/>
          <w14:ligatures w14:val="standardContextual"/>
        </w:rPr>
        <w:t xml:space="preserve"> </w:t>
      </w:r>
      <w:r w:rsidR="008B7601" w:rsidRPr="008B7601">
        <w:rPr>
          <w:rFonts w:cstheme="minorHAnsi"/>
          <w:color w:val="000000" w:themeColor="text1"/>
        </w:rPr>
        <w:t>Na wstępie należy przede wszystkim zaznaczyć, że przedmiotowe zamówienie dotyczy wykonania robót budowlanych a nie dostawy produktu - trawy. W związku z powyższym, zamawiający poszukuje wykonawcy robót budowlanych, z nie producenta. W przypadku, gdy producent jest jednocześnie wykonawcą, tj. jego profil działalności PKD wskazuje, że wykonuje usługi budowlane, wówczas jest uprawniony do uczestnictwa w postępowaniu przetargowym.</w:t>
      </w:r>
    </w:p>
    <w:p w14:paraId="0D3DFF31" w14:textId="0993F827" w:rsidR="0003634D" w:rsidRPr="003B733F" w:rsidRDefault="0003634D" w:rsidP="003B733F">
      <w:pPr>
        <w:autoSpaceDE w:val="0"/>
        <w:autoSpaceDN w:val="0"/>
        <w:adjustRightInd w:val="0"/>
        <w:spacing w:after="0" w:line="240" w:lineRule="auto"/>
        <w:jc w:val="both"/>
        <w:rPr>
          <w:rFonts w:eastAsia="Calibri" w:cstheme="minorHAnsi"/>
          <w:color w:val="000000" w:themeColor="text1"/>
          <w:kern w:val="2"/>
          <w:sz w:val="24"/>
          <w:szCs w:val="24"/>
          <w14:ligatures w14:val="standardContextual"/>
        </w:rPr>
      </w:pPr>
      <w:r w:rsidRPr="003B733F">
        <w:rPr>
          <w:rFonts w:eastAsia="Calibri" w:cstheme="minorHAnsi"/>
          <w:color w:val="000000" w:themeColor="text1"/>
          <w:kern w:val="2"/>
          <w:sz w:val="24"/>
          <w:szCs w:val="24"/>
          <w14:ligatures w14:val="standardContextual"/>
        </w:rPr>
        <w:t>Tak, Zamawiający dopuszcza minimalna grubość włókna fibrylowanego na poziomie 116 mikronów (zmieniono STWIOR i PFU).</w:t>
      </w:r>
    </w:p>
    <w:p w14:paraId="54336697" w14:textId="77777777" w:rsidR="0003634D" w:rsidRPr="003B733F" w:rsidRDefault="0003634D" w:rsidP="003B733F">
      <w:pPr>
        <w:autoSpaceDE w:val="0"/>
        <w:autoSpaceDN w:val="0"/>
        <w:adjustRightInd w:val="0"/>
        <w:spacing w:after="0" w:line="240" w:lineRule="auto"/>
        <w:jc w:val="both"/>
        <w:rPr>
          <w:rFonts w:cstheme="minorHAnsi"/>
          <w:b/>
          <w:bCs/>
          <w:color w:val="000000" w:themeColor="text1"/>
        </w:rPr>
      </w:pPr>
    </w:p>
    <w:p w14:paraId="6C23B454" w14:textId="77777777" w:rsidR="00363062" w:rsidRPr="00363062" w:rsidRDefault="0003634D" w:rsidP="003B733F">
      <w:pPr>
        <w:autoSpaceDE w:val="0"/>
        <w:autoSpaceDN w:val="0"/>
        <w:adjustRightInd w:val="0"/>
        <w:spacing w:after="0" w:line="240" w:lineRule="auto"/>
        <w:jc w:val="both"/>
        <w:rPr>
          <w:rFonts w:cstheme="minorHAnsi"/>
          <w:b/>
          <w:bCs/>
          <w:i/>
          <w:iCs/>
          <w:color w:val="000000" w:themeColor="text1"/>
        </w:rPr>
      </w:pPr>
      <w:r w:rsidRPr="003B733F">
        <w:rPr>
          <w:rFonts w:cstheme="minorHAnsi"/>
          <w:b/>
          <w:bCs/>
          <w:i/>
          <w:iCs/>
          <w:color w:val="000000" w:themeColor="text1"/>
          <w:u w:val="single"/>
        </w:rPr>
        <w:t>Pytanie 4.</w:t>
      </w:r>
      <w:r w:rsidRPr="003B733F">
        <w:rPr>
          <w:rFonts w:cstheme="minorHAnsi"/>
          <w:b/>
          <w:bCs/>
          <w:color w:val="000000" w:themeColor="text1"/>
        </w:rPr>
        <w:t xml:space="preserve"> </w:t>
      </w:r>
      <w:r w:rsidRPr="00363062">
        <w:rPr>
          <w:rFonts w:cstheme="minorHAnsi"/>
          <w:b/>
          <w:bCs/>
          <w:i/>
          <w:iCs/>
          <w:color w:val="000000" w:themeColor="text1"/>
        </w:rPr>
        <w:t xml:space="preserve">Prosimy o wyjaśnienie, dlaczego Zamawiający nie wyraża zgody na dopuszczenie podkładu lateksowego trawy syntetycznej jako rozwiązania równoważnego dla podkładu poliuretanowego? </w:t>
      </w:r>
    </w:p>
    <w:p w14:paraId="033B902E" w14:textId="58AFD24D" w:rsidR="0003634D" w:rsidRPr="00363062" w:rsidRDefault="0003634D"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lastRenderedPageBreak/>
        <w:t>W pytaniu przesłanym dnia 10 lipca 2025 roku, w sposób klarowny, posługując się dokumentem wydanym przez laboratorium akredytowanym przez FIFA, udowodniono, że nie można dyskryminować ani zakazywać stosowania podkładu lateksowego. Pismo w załączeniu.</w:t>
      </w:r>
    </w:p>
    <w:p w14:paraId="190BD5F1" w14:textId="0EE0B8DB" w:rsidR="0003634D" w:rsidRPr="00363062" w:rsidRDefault="0003634D"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Lateks jest to jednoskładnikowy system na bazie wody, wykonany z kauczuku otrzymywanego syntetycznie lub naturalnie z drzewaHevea w celu utworzenia polimeru, stanowi on warstwę podkładową na spodzie trawy i jest stosowany przy ogólnej aprobacie FIFA w odniesieniu do badań zgodnych z obowiązującym podręcznikiem FIFA edycja z 2015 roku, mówiącym o jakości traw</w:t>
      </w:r>
    </w:p>
    <w:p w14:paraId="761B34B9" w14:textId="77777777" w:rsidR="0003634D" w:rsidRPr="00363062" w:rsidRDefault="0003634D"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syntetycznych „FIFA Quality Programme for Football Turf” na , który powołuje się Zamawiający.</w:t>
      </w:r>
    </w:p>
    <w:p w14:paraId="7E82ED93" w14:textId="2A096618" w:rsidR="0003634D" w:rsidRPr="00363062" w:rsidRDefault="0003634D"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Ze względu na powższe uzasadnie prosimy o potwierdzenie, że Zamawiający uzna podkład lateksowy jako równoważny do podkładu poliuretanowego i wyrazi zgodę na zastosowanie podkładu lateksowego lub poliuretanowego.</w:t>
      </w:r>
    </w:p>
    <w:p w14:paraId="6B273198" w14:textId="77777777" w:rsidR="0003634D" w:rsidRPr="003B733F" w:rsidRDefault="0003634D" w:rsidP="003B733F">
      <w:pPr>
        <w:autoSpaceDE w:val="0"/>
        <w:autoSpaceDN w:val="0"/>
        <w:adjustRightInd w:val="0"/>
        <w:spacing w:after="0" w:line="240" w:lineRule="auto"/>
        <w:jc w:val="both"/>
        <w:rPr>
          <w:rFonts w:cstheme="minorHAnsi"/>
          <w:b/>
          <w:bCs/>
          <w:color w:val="000000" w:themeColor="text1"/>
        </w:rPr>
      </w:pPr>
    </w:p>
    <w:p w14:paraId="6622EA5B" w14:textId="5067BBC6" w:rsidR="0003634D" w:rsidRPr="003B733F" w:rsidRDefault="0003634D" w:rsidP="003B733F">
      <w:pPr>
        <w:autoSpaceDE w:val="0"/>
        <w:autoSpaceDN w:val="0"/>
        <w:adjustRightInd w:val="0"/>
        <w:spacing w:after="0" w:line="240" w:lineRule="auto"/>
        <w:jc w:val="both"/>
        <w:rPr>
          <w:rFonts w:cstheme="minorHAnsi"/>
          <w:color w:val="000000" w:themeColor="text1"/>
        </w:rPr>
      </w:pPr>
      <w:r w:rsidRPr="003B733F">
        <w:rPr>
          <w:rFonts w:cstheme="minorHAnsi"/>
          <w:b/>
          <w:bCs/>
          <w:color w:val="000000" w:themeColor="text1"/>
        </w:rPr>
        <w:t xml:space="preserve">Odpowiedź: </w:t>
      </w:r>
      <w:r w:rsidR="00A950E7" w:rsidRPr="003B733F">
        <w:rPr>
          <w:rFonts w:cstheme="minorHAnsi"/>
          <w:color w:val="000000" w:themeColor="text1"/>
        </w:rPr>
        <w:t>Dla Użytkowników/Inwestorów oczekujących najwyższej trwałości, komfortu, estetyki i bezpieczeństwa zdrowotnego, szczególnie przy intensywnym użytkowaniu (dzieci, zwierzęta, klimat), PU lub PP/PE ma zdecydowaną przewagę nad tradycyjnym SBR-lateksowym spodem i w ocenie Zamawiającego nie są to materiały równoważne.  Zamawiający nie akceptuje tzw. SBR do zasypu sztucznej trawy ze względu na bezpieczeństwo użytkowników. Z podobnych powodów Zamawiający wymaga spód trawy wykonany z PU lub PP/PE (zgodnie z dokumentacją załączona do postępowania), zamiast spodu lateksowego który jest z domieszką właśnie SBR-u. Wg wiedzy Zamawiającego większość producentów sztucznych traw posiada w swojej ofercie produkty z także ze spodem z PU lub PP/PE. W ramach poszerzenia konkurencyjności Zamawiający dopuszcza spód tzw. PP/PE - poliolefinowy jako rodzaj spodu ekologicznego. Ze względu na bezpieczeństwo oraz ekologię spód lateksowy NIE jest dopuszczony.</w:t>
      </w:r>
    </w:p>
    <w:p w14:paraId="338C8D2B" w14:textId="77777777" w:rsidR="00A950E7" w:rsidRPr="003B733F" w:rsidRDefault="00A950E7" w:rsidP="003B733F">
      <w:pPr>
        <w:autoSpaceDE w:val="0"/>
        <w:autoSpaceDN w:val="0"/>
        <w:adjustRightInd w:val="0"/>
        <w:spacing w:after="0" w:line="240" w:lineRule="auto"/>
        <w:jc w:val="both"/>
        <w:rPr>
          <w:rFonts w:cstheme="minorHAnsi"/>
          <w:color w:val="000000" w:themeColor="text1"/>
        </w:rPr>
      </w:pPr>
    </w:p>
    <w:p w14:paraId="1C658CBB" w14:textId="190ADB4C"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B733F">
        <w:rPr>
          <w:rFonts w:cstheme="minorHAnsi"/>
          <w:b/>
          <w:bCs/>
          <w:i/>
          <w:iCs/>
          <w:color w:val="000000" w:themeColor="text1"/>
          <w:u w:val="single"/>
        </w:rPr>
        <w:t xml:space="preserve">Pytanie 5. </w:t>
      </w:r>
      <w:r w:rsidRPr="00363062">
        <w:rPr>
          <w:rFonts w:cstheme="minorHAnsi"/>
          <w:b/>
          <w:bCs/>
          <w:i/>
          <w:iCs/>
          <w:color w:val="000000" w:themeColor="text1"/>
        </w:rPr>
        <w:t>1) Prosimy o wyjaśnienie, dlaczego Zamawiający wymaga przedłożenia nieuzasadnionego w żaden sposób dokumentu, który jest wprowadzony tylko dlatego, aby wyeliminować producentów traw o wysokich parametrach użytkowych i wytrzymałościowych?</w:t>
      </w:r>
    </w:p>
    <w:p w14:paraId="10B65941" w14:textId="2F2A0CF2"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Chodzi o dokument: raport z badań testu Lisport na min. 500.000 cykli dla włókna oferowanej trawy syntetycznej przeprowadzony przez niezależne laboratorium zgodnie z normą EN 15306 „Nawierzchnie do otwartych terenów sportowych – narażenie trawy na oddziaływania”. Badanie musi być wydane przez laboratorium niezależne, akredytowane zgodnie z ISO/IEC 17025.</w:t>
      </w:r>
    </w:p>
    <w:p w14:paraId="6B37A509" w14:textId="339F4FE4"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2) Prosimy o wyjaśnienie, dlaczego Zamawiający wymaga badania Lisport na min 500.000 cykli , a nie np. 700.000 lub 900.000 cykli lub 150.000 cykli?</w:t>
      </w:r>
    </w:p>
    <w:p w14:paraId="6DC80464" w14:textId="60DA7FD5"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3) Prosimy o wyjaśnienie w jakim celu Zamawiający wymaga tego dokumentu, co tak naprawdę ten dokument ma potwierdzać, bo w ten sposób opisany dokument niczego nie gwarantuje Zamawiającemu</w:t>
      </w:r>
    </w:p>
    <w:p w14:paraId="2D5D5CFA" w14:textId="77777777"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Dla łatwiejszej analizy informujemy, że :</w:t>
      </w:r>
    </w:p>
    <w:p w14:paraId="71C4A4FB" w14:textId="77777777"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 Lisport to maszyna do badania odporności włókna na zużycie</w:t>
      </w:r>
    </w:p>
    <w:p w14:paraId="7746C36E" w14:textId="421E09A2"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- 500.000 cykli to badanie zachowania włókna przez 125 lat ( wszyscy mamy świadomość, że nawierzchnia na boisku jest wymieniana max po 12-15 latach), co oznacza, że te 125 lat nie jest niczym uzasadnione.</w:t>
      </w:r>
    </w:p>
    <w:p w14:paraId="343EE075" w14:textId="3FB8D20C"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 Zamawiający opisał, że badanie ma dotyczyć włókna, ale zapomniał wskazać, że badanie ma dotyczyć włókna głównego monofilowego</w:t>
      </w:r>
    </w:p>
    <w:p w14:paraId="6B35BAD9" w14:textId="77777777" w:rsidR="00A950E7"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 Pominięte zostało, że włókno monofilowe po określonej ilości cykli ma nie wykazywać widocznych uszkodzeń.</w:t>
      </w:r>
    </w:p>
    <w:p w14:paraId="78EC403A" w14:textId="2149E0CF" w:rsidR="0003634D" w:rsidRPr="00363062" w:rsidRDefault="00A950E7" w:rsidP="003B733F">
      <w:pPr>
        <w:autoSpaceDE w:val="0"/>
        <w:autoSpaceDN w:val="0"/>
        <w:adjustRightInd w:val="0"/>
        <w:spacing w:after="0" w:line="240" w:lineRule="auto"/>
        <w:jc w:val="both"/>
        <w:rPr>
          <w:rFonts w:cstheme="minorHAnsi"/>
          <w:b/>
          <w:bCs/>
          <w:i/>
          <w:iCs/>
          <w:color w:val="000000" w:themeColor="text1"/>
        </w:rPr>
      </w:pPr>
      <w:r w:rsidRPr="00363062">
        <w:rPr>
          <w:rFonts w:cstheme="minorHAnsi"/>
          <w:b/>
          <w:bCs/>
          <w:i/>
          <w:iCs/>
          <w:color w:val="000000" w:themeColor="text1"/>
        </w:rPr>
        <w:t xml:space="preserve">W innym wypadku Zamawiający może otrzymać badanie na określoną ilość cykli wykazujących zniszczenie włókna lub w ogóle nie będzie podsumowania z badania i Zamawiający nawet nie pozna wyniku badania, bo takie też dokumenty pojawiały się w ostatnim czasie na polskim rynku. Ze względu na powyższe wnosimy o potwierdzenie, że Zamawiający uzna przedłożenie dokumentu: raport z badań testu Lisport na min. 300.000 cykli dla włókna monofilowego oferowanej trawy syntetycznej przeprowadzony przez niezależne laboratorium zgodnie z normą EN 15306 „Nawierzchnie do otwartych terenów sportowych – narażenie trawy na oddziaływania” </w:t>
      </w:r>
      <w:r w:rsidRPr="00363062">
        <w:rPr>
          <w:rFonts w:cstheme="minorHAnsi"/>
          <w:b/>
          <w:bCs/>
          <w:i/>
          <w:iCs/>
          <w:color w:val="000000" w:themeColor="text1"/>
        </w:rPr>
        <w:lastRenderedPageBreak/>
        <w:t>potwierdzający, że włókno monofilowe po min. 300.000 cykli nie wykazuje widocznych uszkodzeń. Badanie ma być wykonane przez niezależne, akredytowane laboratorium zgodnie z ISO/IEC 17025:2018.</w:t>
      </w:r>
    </w:p>
    <w:p w14:paraId="4A1498D5" w14:textId="77777777" w:rsidR="00A950E7" w:rsidRPr="003B733F" w:rsidRDefault="00A950E7" w:rsidP="003B733F">
      <w:pPr>
        <w:autoSpaceDE w:val="0"/>
        <w:autoSpaceDN w:val="0"/>
        <w:adjustRightInd w:val="0"/>
        <w:spacing w:after="0" w:line="240" w:lineRule="auto"/>
        <w:jc w:val="both"/>
        <w:rPr>
          <w:rStyle w:val="fontstyle01"/>
          <w:rFonts w:asciiTheme="minorHAnsi" w:hAnsiTheme="minorHAnsi" w:cstheme="minorHAnsi"/>
          <w:b/>
          <w:bCs/>
          <w:color w:val="000000" w:themeColor="text1"/>
          <w:sz w:val="22"/>
          <w:szCs w:val="22"/>
        </w:rPr>
      </w:pPr>
    </w:p>
    <w:p w14:paraId="5DE06877" w14:textId="77777777" w:rsidR="00A950E7" w:rsidRPr="003B733F" w:rsidRDefault="00A950E7" w:rsidP="003B733F">
      <w:pPr>
        <w:spacing w:after="0" w:line="278" w:lineRule="auto"/>
        <w:jc w:val="both"/>
        <w:rPr>
          <w:rStyle w:val="fontstyle01"/>
          <w:rFonts w:asciiTheme="minorHAnsi" w:hAnsiTheme="minorHAnsi" w:cstheme="minorHAnsi"/>
          <w:b/>
          <w:bCs/>
          <w:color w:val="000000" w:themeColor="text1"/>
          <w:sz w:val="22"/>
          <w:szCs w:val="22"/>
        </w:rPr>
      </w:pPr>
      <w:r w:rsidRPr="003B733F">
        <w:rPr>
          <w:rStyle w:val="fontstyle01"/>
          <w:rFonts w:asciiTheme="minorHAnsi" w:hAnsiTheme="minorHAnsi" w:cstheme="minorHAnsi"/>
          <w:b/>
          <w:bCs/>
          <w:color w:val="000000" w:themeColor="text1"/>
          <w:sz w:val="22"/>
          <w:szCs w:val="22"/>
        </w:rPr>
        <w:t xml:space="preserve">Odpowiedź: </w:t>
      </w:r>
    </w:p>
    <w:p w14:paraId="0B2F98D3" w14:textId="77777777" w:rsidR="003B733F" w:rsidRDefault="00A950E7" w:rsidP="003B733F">
      <w:pPr>
        <w:pStyle w:val="Akapitzlist"/>
        <w:numPr>
          <w:ilvl w:val="0"/>
          <w:numId w:val="3"/>
        </w:numPr>
        <w:spacing w:after="0" w:line="278" w:lineRule="auto"/>
        <w:jc w:val="both"/>
        <w:rPr>
          <w:rFonts w:cstheme="minorHAnsi"/>
        </w:rPr>
      </w:pPr>
      <w:r w:rsidRPr="003B733F">
        <w:rPr>
          <w:rFonts w:cstheme="minorHAnsi"/>
        </w:rPr>
        <w:t xml:space="preserve">Zamawiający nie zgadza się ze stwierdzeniem, że przedmiotowy dokument jest </w:t>
      </w:r>
    </w:p>
    <w:p w14:paraId="0A6E5A28" w14:textId="01C8B0B4" w:rsidR="00A950E7" w:rsidRPr="003B733F" w:rsidRDefault="00A950E7" w:rsidP="003B733F">
      <w:pPr>
        <w:pStyle w:val="Akapitzlist"/>
        <w:spacing w:after="0" w:line="278" w:lineRule="auto"/>
        <w:jc w:val="both"/>
        <w:rPr>
          <w:rFonts w:cstheme="minorHAnsi"/>
        </w:rPr>
      </w:pPr>
      <w:r w:rsidRPr="003B733F">
        <w:rPr>
          <w:rFonts w:cstheme="minorHAnsi"/>
        </w:rPr>
        <w:t>nieuzasadniony. Testy Lisport to badanie sztucznej trawy pod kątem odporności na intensywne użytkowanie. Maszyna Lisport symuluje warunki zużycia trawy poprzez zastosowanie wałków zakończonych korkami butów piłkarskich. Wymóg 500 tys. cykli testu Lisport to obecny standard wysokiej trwałości i odporności na intensywne użytkowanie – gwarantuje długą żywotność nawierzchni i obniżone koszty eksploatacyjne przez wiele lat. Zapewnia trwałość i długowieczność trawy. Ogranicza koszty utrzymania i ryzyko ewentualnych reklamacji. Testy Lisport są zgodne z międzynarodowymi standardami (FIFA, World Rugby). </w:t>
      </w:r>
    </w:p>
    <w:p w14:paraId="21A3E546" w14:textId="77777777" w:rsidR="00A950E7" w:rsidRPr="003B733F" w:rsidRDefault="00A950E7" w:rsidP="003B733F">
      <w:pPr>
        <w:pStyle w:val="Akapitzlist"/>
        <w:spacing w:after="0"/>
        <w:jc w:val="both"/>
        <w:rPr>
          <w:rFonts w:cstheme="minorHAnsi"/>
        </w:rPr>
      </w:pPr>
      <w:r w:rsidRPr="003B733F">
        <w:rPr>
          <w:rFonts w:cstheme="minorHAnsi"/>
        </w:rPr>
        <w:t xml:space="preserve">Zamawiający </w:t>
      </w:r>
      <w:r w:rsidRPr="003B733F">
        <w:rPr>
          <w:rFonts w:eastAsia="Times New Roman" w:cstheme="minorHAnsi"/>
          <w:lang w:eastAsia="pl-PL"/>
        </w:rPr>
        <w:t>uzna raport z badań testu Lisport na min. 300.000 cykli dla włókna monofilowego oferowanej trawy syntetycznej</w:t>
      </w:r>
      <w:r w:rsidRPr="003B733F">
        <w:rPr>
          <w:rFonts w:cstheme="minorHAnsi"/>
        </w:rPr>
        <w:t xml:space="preserve"> (zmieniono STWIOR i PFU)</w:t>
      </w:r>
    </w:p>
    <w:p w14:paraId="07CA61D9" w14:textId="4E021EA9" w:rsidR="00A950E7" w:rsidRPr="003B733F" w:rsidRDefault="00A950E7" w:rsidP="003B733F">
      <w:pPr>
        <w:pStyle w:val="Akapitzlist"/>
        <w:numPr>
          <w:ilvl w:val="0"/>
          <w:numId w:val="3"/>
        </w:numPr>
        <w:spacing w:after="0"/>
        <w:jc w:val="both"/>
        <w:rPr>
          <w:rFonts w:cstheme="minorHAnsi"/>
        </w:rPr>
      </w:pPr>
      <w:r w:rsidRPr="003B733F">
        <w:rPr>
          <w:rFonts w:cstheme="minorHAnsi"/>
        </w:rPr>
        <w:t>Jak wyżej - Wymóg 500 tys. cykli testu Lisport to obecny standard wysokiej trwałości i odporności na intensywne użytkowanie – gwarantuje długą żywotność nawierzchni i obniżone koszty eksploatacyjne przez wiele lat. Zapewnia trwałość i długowieczność trawy. Ogranicza koszty utrzymania i ryzyko ewentualnych reklamacji. Testy Lisport są zgodne z międzynarodowymi standardami (FIFA, World Rugby). </w:t>
      </w:r>
    </w:p>
    <w:p w14:paraId="7A187E72" w14:textId="37AB5234" w:rsidR="00A950E7" w:rsidRPr="003B733F" w:rsidRDefault="00A950E7" w:rsidP="003B733F">
      <w:pPr>
        <w:pStyle w:val="Akapitzlist"/>
        <w:numPr>
          <w:ilvl w:val="0"/>
          <w:numId w:val="3"/>
        </w:numPr>
        <w:spacing w:after="0" w:line="278" w:lineRule="auto"/>
        <w:jc w:val="both"/>
        <w:rPr>
          <w:rFonts w:cstheme="minorHAnsi"/>
        </w:rPr>
      </w:pPr>
      <w:r w:rsidRPr="003B733F">
        <w:rPr>
          <w:rFonts w:cstheme="minorHAnsi"/>
        </w:rPr>
        <w:t>Dokument ten stanowi potwierdzenie trwałości wbudowanego materiału. Oczywistym jest, że Zamawiający oraz Inspektor Nadzoru nie dopuści materiału do wbudowania, który wskazuje uszkodzenia.</w:t>
      </w:r>
    </w:p>
    <w:p w14:paraId="18B7D999" w14:textId="77777777" w:rsidR="00A950E7" w:rsidRPr="003B733F" w:rsidRDefault="00A950E7" w:rsidP="003B733F">
      <w:pPr>
        <w:pStyle w:val="Akapitzlist"/>
        <w:spacing w:after="0"/>
        <w:jc w:val="both"/>
        <w:rPr>
          <w:rFonts w:cstheme="minorHAnsi"/>
        </w:rPr>
      </w:pPr>
      <w:r w:rsidRPr="003B733F">
        <w:rPr>
          <w:rFonts w:cstheme="minorHAnsi"/>
        </w:rPr>
        <w:t xml:space="preserve">Wychodząc naprzeciw oczekiwaniom producentów oraz rozszerzając konkurencyjność, Zamawiający </w:t>
      </w:r>
      <w:r w:rsidRPr="003B733F">
        <w:rPr>
          <w:rFonts w:cstheme="minorHAnsi"/>
          <w:b/>
          <w:bCs/>
        </w:rPr>
        <w:t xml:space="preserve">dopuści </w:t>
      </w:r>
      <w:r w:rsidRPr="003B733F">
        <w:rPr>
          <w:rFonts w:cstheme="minorHAnsi"/>
        </w:rPr>
        <w:t>raport z badań testu Lisport na min. 300.000 cykli dla włókna monofilowego oferowanej trawy syntetycznej. (zmieniono STWIOR i PFU).</w:t>
      </w:r>
    </w:p>
    <w:p w14:paraId="301911C4" w14:textId="6023718F" w:rsidR="00A950E7" w:rsidRPr="003B733F" w:rsidRDefault="00A950E7" w:rsidP="003B733F">
      <w:pPr>
        <w:autoSpaceDE w:val="0"/>
        <w:autoSpaceDN w:val="0"/>
        <w:adjustRightInd w:val="0"/>
        <w:spacing w:after="0" w:line="240" w:lineRule="auto"/>
        <w:jc w:val="both"/>
        <w:rPr>
          <w:rStyle w:val="fontstyle01"/>
          <w:rFonts w:asciiTheme="minorHAnsi" w:hAnsiTheme="minorHAnsi" w:cstheme="minorHAnsi"/>
          <w:b/>
          <w:bCs/>
          <w:color w:val="000000" w:themeColor="text1"/>
          <w:sz w:val="22"/>
          <w:szCs w:val="22"/>
        </w:rPr>
      </w:pPr>
    </w:p>
    <w:p w14:paraId="1B9C4015" w14:textId="78DA9384" w:rsidR="00A950E7" w:rsidRPr="003B733F" w:rsidRDefault="00A950E7" w:rsidP="003B733F">
      <w:pPr>
        <w:pStyle w:val="Default"/>
        <w:jc w:val="both"/>
        <w:rPr>
          <w:rFonts w:asciiTheme="minorHAnsi" w:hAnsiTheme="minorHAnsi" w:cstheme="minorHAnsi"/>
          <w:i/>
          <w:iCs/>
          <w:sz w:val="23"/>
          <w:szCs w:val="23"/>
        </w:rPr>
      </w:pPr>
      <w:bookmarkStart w:id="4" w:name="_Hlk203482544"/>
      <w:r w:rsidRPr="003B733F">
        <w:rPr>
          <w:rStyle w:val="fontstyle01"/>
          <w:rFonts w:asciiTheme="minorHAnsi" w:hAnsiTheme="minorHAnsi" w:cstheme="minorHAnsi"/>
          <w:b/>
          <w:bCs/>
          <w:i/>
          <w:iCs/>
          <w:color w:val="000000" w:themeColor="text1"/>
          <w:sz w:val="22"/>
          <w:szCs w:val="22"/>
          <w:u w:val="single"/>
        </w:rPr>
        <w:t>Pytanie 6.</w:t>
      </w:r>
      <w:r w:rsidRPr="003B733F">
        <w:rPr>
          <w:rStyle w:val="fontstyle01"/>
          <w:rFonts w:asciiTheme="minorHAnsi" w:hAnsiTheme="minorHAnsi" w:cstheme="minorHAnsi"/>
          <w:b/>
          <w:bCs/>
          <w:i/>
          <w:iCs/>
          <w:color w:val="000000" w:themeColor="text1"/>
          <w:sz w:val="22"/>
          <w:szCs w:val="22"/>
        </w:rPr>
        <w:t xml:space="preserve"> </w:t>
      </w:r>
      <w:bookmarkEnd w:id="4"/>
      <w:r w:rsidRPr="003B733F">
        <w:rPr>
          <w:rFonts w:asciiTheme="minorHAnsi" w:hAnsiTheme="minorHAnsi" w:cstheme="minorHAnsi"/>
          <w:b/>
          <w:bCs/>
          <w:i/>
          <w:iCs/>
          <w:sz w:val="23"/>
          <w:szCs w:val="23"/>
        </w:rPr>
        <w:t>Dlaczego przyjęty opis sztucznej nawierzchni trawiastej oparty jest o konkretny produkt, konkretnego producenta?</w:t>
      </w:r>
      <w:r w:rsidRPr="003B733F">
        <w:rPr>
          <w:rFonts w:asciiTheme="minorHAnsi" w:hAnsiTheme="minorHAnsi" w:cstheme="minorHAnsi"/>
          <w:i/>
          <w:iCs/>
          <w:sz w:val="23"/>
          <w:szCs w:val="23"/>
        </w:rPr>
        <w:t xml:space="preserve"> </w:t>
      </w:r>
    </w:p>
    <w:p w14:paraId="43AD393F" w14:textId="77777777" w:rsidR="00A950E7" w:rsidRPr="003B733F" w:rsidRDefault="00A950E7" w:rsidP="003B733F">
      <w:pPr>
        <w:pStyle w:val="Default"/>
        <w:jc w:val="both"/>
        <w:rPr>
          <w:rFonts w:asciiTheme="minorHAnsi" w:hAnsiTheme="minorHAnsi" w:cstheme="minorHAnsi"/>
          <w:sz w:val="23"/>
          <w:szCs w:val="23"/>
        </w:rPr>
      </w:pPr>
    </w:p>
    <w:p w14:paraId="4AD76A2B" w14:textId="77777777" w:rsidR="00A950E7" w:rsidRPr="003B733F" w:rsidRDefault="00A950E7" w:rsidP="003B733F">
      <w:pPr>
        <w:pStyle w:val="Default"/>
        <w:jc w:val="both"/>
        <w:rPr>
          <w:rFonts w:asciiTheme="minorHAnsi" w:hAnsiTheme="minorHAnsi" w:cstheme="minorHAnsi"/>
        </w:rPr>
      </w:pPr>
      <w:bookmarkStart w:id="5" w:name="_Hlk203482582"/>
      <w:r w:rsidRPr="003B733F">
        <w:rPr>
          <w:rFonts w:asciiTheme="minorHAnsi" w:hAnsiTheme="minorHAnsi" w:cstheme="minorHAnsi"/>
          <w:b/>
          <w:bCs/>
        </w:rPr>
        <w:t>Odpowiedź:</w:t>
      </w:r>
      <w:bookmarkEnd w:id="5"/>
      <w:r w:rsidRPr="003B733F">
        <w:rPr>
          <w:rFonts w:asciiTheme="minorHAnsi" w:hAnsiTheme="minorHAnsi" w:cstheme="minorHAnsi"/>
        </w:rPr>
        <w:t xml:space="preserve"> Należy przede wszystkim zaznaczyć, że przedmiotowe zamówienie dotyczy wykonania robót budowlanych a nie dostawy produktu - trawy. Zamawiający, kierując się zasadą zapewnienia najwyższej jakości inwestycji, przedstawił dokumentację, która zawiera sposób wykonania robót z określeniem parametrów technicznych materiałów przeznaczonych do wbudowania, które w jego ocenie gwarantowały maksymalną trwałość i funkcjonalność w cyklu użytkowania nawierzchni. Rozwiązania te opierają się na sprawdzonych technologiach i dotychczasowych realizacjach, przy jednoczesnym uwzględnieniu aktualnych standardów branżowych i wymogów. Zgodnie z art. Art.  102 Ustawy z dnia 11 września 2019 r. -  Prawo zamówień publicznych ( Dz. U. z 2025 r. poz. 620 ze zm.) cyt. „zamawiający określa w opisie przedmiotu zamówienia na roboty budowlane wymagane cechy materiału, produktu lub usługi, odpowiadające przeznaczeniu zamierzonemu przez zamawiającego, które mogą dotyczyć w szczególności:</w:t>
      </w:r>
    </w:p>
    <w:p w14:paraId="4510D1F5"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1)określonych poziomów oddziaływania na środowisko i klimat;</w:t>
      </w:r>
    </w:p>
    <w:p w14:paraId="315371C8"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2)wymagań w zakresie dostępności dla osób niepełnosprawnych;</w:t>
      </w:r>
    </w:p>
    <w:p w14:paraId="6940CDF6"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3)określonej wydajności, bezpieczeństwa lub wymiarów, w tym procedur dotyczących zapewnienia jakości;</w:t>
      </w:r>
    </w:p>
    <w:p w14:paraId="762A3B11"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4)określonej terminologii, symboli, testów i metod testowania;</w:t>
      </w:r>
    </w:p>
    <w:p w14:paraId="4D29002C"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5)określonego opakowania i oznakowania;</w:t>
      </w:r>
    </w:p>
    <w:p w14:paraId="38F881B5"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lastRenderedPageBreak/>
        <w:t>6)określonej etykiety;</w:t>
      </w:r>
    </w:p>
    <w:p w14:paraId="3094E1E9"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7)instrukcji użytkowania;</w:t>
      </w:r>
    </w:p>
    <w:p w14:paraId="5AAB635C"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8)procesów i metod produkcji na każdym etapie cyklu życia obiektów budowlanych;</w:t>
      </w:r>
    </w:p>
    <w:p w14:paraId="530CAF79" w14:textId="0CA3AA65" w:rsidR="003B733F" w:rsidRDefault="00A950E7" w:rsidP="003B733F">
      <w:pPr>
        <w:pStyle w:val="Default"/>
        <w:jc w:val="both"/>
        <w:rPr>
          <w:rFonts w:asciiTheme="minorHAnsi" w:hAnsiTheme="minorHAnsi" w:cstheme="minorHAnsi"/>
        </w:rPr>
      </w:pPr>
      <w:r w:rsidRPr="003B733F">
        <w:rPr>
          <w:rFonts w:asciiTheme="minorHAnsi" w:hAnsiTheme="minorHAnsi" w:cstheme="minorHAnsi"/>
        </w:rPr>
        <w:t xml:space="preserve">9)dodatkowych badań i testów przeprowadzanych przez jednostki autoryzowane w rozumieniu ustawy z dnia 13 kwietnia 2016 r. o systemach oceny zgodności i nadzoru rynku </w:t>
      </w:r>
    </w:p>
    <w:p w14:paraId="7C0FB7B4" w14:textId="1A79F084"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(Dz. U. z 2022 r. poz. 1854 oraz z 2024 r. poz. 1089);</w:t>
      </w:r>
    </w:p>
    <w:p w14:paraId="02077B31"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10)określonych zasad dotyczących projektowania i kosztorysowania;</w:t>
      </w:r>
    </w:p>
    <w:p w14:paraId="740DB195"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11)warunków testowania, kontroli i odbioru obiektów budowlanych;</w:t>
      </w:r>
    </w:p>
    <w:p w14:paraId="4C629678"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12)metod i technik budowy;</w:t>
      </w:r>
    </w:p>
    <w:p w14:paraId="7D335561" w14:textId="77777777"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13)wszelkich pozostałych warunków technicznych”.</w:t>
      </w:r>
    </w:p>
    <w:p w14:paraId="4CB666DD" w14:textId="355F57A2" w:rsidR="00A950E7" w:rsidRPr="003B733F" w:rsidRDefault="00A950E7" w:rsidP="003B733F">
      <w:pPr>
        <w:pStyle w:val="Default"/>
        <w:jc w:val="both"/>
        <w:rPr>
          <w:rFonts w:asciiTheme="minorHAnsi" w:hAnsiTheme="minorHAnsi" w:cstheme="minorHAnsi"/>
        </w:rPr>
      </w:pPr>
      <w:r w:rsidRPr="003B733F">
        <w:rPr>
          <w:rFonts w:asciiTheme="minorHAnsi" w:hAnsiTheme="minorHAnsi" w:cstheme="minorHAnsi"/>
        </w:rPr>
        <w:t>Dodatkowo mając na uwadze art. 99 – Ustawy PzP zamawiający przedstawiając przedmiot zamówienia -  nie opisuje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Zatem Zamawiający nie preferuje żadnego konkretnego producenta, a jego działania mają na celu zabezpieczenie interesu publicznego poprzez zapewnienie trwałości i jakości inwestycji. Z informacji powziętych przez Zamawiającego wynika, że na rynku jest co najmniej kilku producentów spełniających wymogi zawarte w dokumentacji przetargowej. Mimo to, celem zwiększenia konkurencyjności, Zamawiający wprowadza częściowe zmiany w PFU oraz STWIOR.</w:t>
      </w:r>
    </w:p>
    <w:p w14:paraId="3223E1AC" w14:textId="545325C4" w:rsidR="00A950E7" w:rsidRPr="003B733F" w:rsidRDefault="00A950E7" w:rsidP="003B733F">
      <w:pPr>
        <w:autoSpaceDE w:val="0"/>
        <w:autoSpaceDN w:val="0"/>
        <w:adjustRightInd w:val="0"/>
        <w:spacing w:after="0" w:line="240" w:lineRule="auto"/>
        <w:jc w:val="both"/>
        <w:rPr>
          <w:rStyle w:val="fontstyle01"/>
          <w:rFonts w:asciiTheme="minorHAnsi" w:hAnsiTheme="minorHAnsi" w:cstheme="minorHAnsi"/>
          <w:b/>
          <w:bCs/>
          <w:color w:val="000000" w:themeColor="text1"/>
          <w:sz w:val="22"/>
          <w:szCs w:val="22"/>
        </w:rPr>
      </w:pPr>
    </w:p>
    <w:p w14:paraId="4C89E0EE" w14:textId="77777777" w:rsidR="00CE40DC" w:rsidRPr="003B733F" w:rsidRDefault="00CE40DC" w:rsidP="003B733F">
      <w:pPr>
        <w:spacing w:after="0"/>
        <w:ind w:left="6372"/>
        <w:jc w:val="both"/>
        <w:rPr>
          <w:rStyle w:val="fontstyle01"/>
          <w:rFonts w:asciiTheme="minorHAnsi" w:hAnsiTheme="minorHAnsi" w:cstheme="minorHAnsi"/>
          <w:i/>
        </w:rPr>
      </w:pPr>
    </w:p>
    <w:p w14:paraId="314D5704" w14:textId="7D6A1CFB" w:rsidR="00CE40DC" w:rsidRDefault="00A950E7"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Pytanie 7.</w:t>
      </w:r>
      <w:r w:rsidRPr="003B733F">
        <w:rPr>
          <w:rFonts w:cstheme="minorHAnsi"/>
        </w:rPr>
        <w:t xml:space="preserve"> </w:t>
      </w:r>
      <w:r w:rsidRPr="003B733F">
        <w:rPr>
          <w:rStyle w:val="fontstyle01"/>
          <w:rFonts w:asciiTheme="minorHAnsi" w:hAnsiTheme="minorHAnsi" w:cstheme="minorHAnsi"/>
          <w:b/>
          <w:bCs/>
          <w:i/>
          <w:iCs/>
          <w:color w:val="000000" w:themeColor="text1"/>
          <w:sz w:val="22"/>
          <w:szCs w:val="22"/>
        </w:rPr>
        <w:t>Dlaczego Zamawiający świadomie przeprowadza przedmiotowe postępowanie z naruszeniem prawa i rezerwuje je dla konkretnego producenta.</w:t>
      </w:r>
    </w:p>
    <w:p w14:paraId="6152F36D" w14:textId="77777777" w:rsidR="003B733F" w:rsidRPr="003B733F" w:rsidRDefault="003B733F" w:rsidP="003B733F">
      <w:pPr>
        <w:spacing w:after="0"/>
        <w:jc w:val="both"/>
        <w:rPr>
          <w:rStyle w:val="fontstyle01"/>
          <w:rFonts w:asciiTheme="minorHAnsi" w:hAnsiTheme="minorHAnsi" w:cstheme="minorHAnsi"/>
          <w:b/>
          <w:bCs/>
          <w:i/>
          <w:iCs/>
          <w:color w:val="000000" w:themeColor="text1"/>
          <w:sz w:val="22"/>
          <w:szCs w:val="22"/>
          <w:u w:val="single"/>
        </w:rPr>
      </w:pPr>
    </w:p>
    <w:p w14:paraId="2C00D138" w14:textId="4894F079" w:rsidR="00A950E7" w:rsidRDefault="00A950E7"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Odpowiedź:</w:t>
      </w:r>
      <w:r w:rsidRPr="003B733F">
        <w:rPr>
          <w:rFonts w:cstheme="minorHAnsi"/>
        </w:rPr>
        <w:t xml:space="preserve"> </w:t>
      </w:r>
      <w:r w:rsidRPr="003B733F">
        <w:rPr>
          <w:rStyle w:val="fontstyle01"/>
          <w:rFonts w:asciiTheme="minorHAnsi" w:hAnsiTheme="minorHAnsi" w:cstheme="minorHAnsi"/>
          <w:color w:val="000000" w:themeColor="text1"/>
          <w:sz w:val="22"/>
          <w:szCs w:val="22"/>
        </w:rPr>
        <w:t>Jak wyżej. Przedmiotowe postepowanie nie dotyczy dostawy produktu. Zamawiający nie preferuje żadnego konkretnego wykonawcy robót budowlanych. Mimo to, celem zwiększenia konkurencyjności, Zamawiający wprowadza częściowe zmiany w PFU oraz STWIOR.</w:t>
      </w:r>
    </w:p>
    <w:p w14:paraId="3543B256" w14:textId="77777777" w:rsidR="003B733F" w:rsidRPr="003B733F" w:rsidRDefault="003B733F" w:rsidP="003B733F">
      <w:pPr>
        <w:spacing w:after="0"/>
        <w:jc w:val="both"/>
        <w:rPr>
          <w:rStyle w:val="fontstyle01"/>
          <w:rFonts w:asciiTheme="minorHAnsi" w:hAnsiTheme="minorHAnsi" w:cstheme="minorHAnsi"/>
          <w:color w:val="000000" w:themeColor="text1"/>
          <w:sz w:val="22"/>
          <w:szCs w:val="22"/>
        </w:rPr>
      </w:pPr>
    </w:p>
    <w:p w14:paraId="19E112EB" w14:textId="165255EE" w:rsidR="00A950E7" w:rsidRPr="003B733F" w:rsidRDefault="00A950E7"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 xml:space="preserve">Pytanie 8. </w:t>
      </w:r>
      <w:r w:rsidR="00633415" w:rsidRPr="003B733F">
        <w:rPr>
          <w:rStyle w:val="fontstyle01"/>
          <w:rFonts w:asciiTheme="minorHAnsi" w:hAnsiTheme="minorHAnsi" w:cstheme="minorHAnsi"/>
          <w:b/>
          <w:bCs/>
          <w:i/>
          <w:iCs/>
          <w:color w:val="000000" w:themeColor="text1"/>
          <w:sz w:val="22"/>
          <w:szCs w:val="22"/>
        </w:rPr>
        <w:t>Proszę o potwierdzenie przez Zamawiającego, że sporządził opis przedmiotu zamówienia respektujący zasady udzielenia zamówień publicznych przy uwzględnieniu, wyłącznie rzeczywiście uzasadnionych obiektywnymi względami, potrzeb. Nadmieniamy jedynie, że KIO stoi na stanowisku, że „niedopuszczalne jest takie opisanie przedmiotu zamówienia, które ogranicza możliwość złożenia ofert, a które nie jest konieczne dla zaspokojenia racjonalnych i obiektywnie uzasadnionych potrzeb Zamawiającego. Zamawiający, opisując przedmiot zamówienia w sposób eliminujący funkcjonujące na rynku rozwiązania, musi więc być w stanie</w:t>
      </w:r>
      <w:r w:rsidR="00633415" w:rsidRPr="003B733F">
        <w:rPr>
          <w:rFonts w:cstheme="minorHAnsi"/>
        </w:rPr>
        <w:t xml:space="preserve"> </w:t>
      </w:r>
      <w:r w:rsidR="00633415" w:rsidRPr="003B733F">
        <w:rPr>
          <w:rStyle w:val="fontstyle01"/>
          <w:rFonts w:asciiTheme="minorHAnsi" w:hAnsiTheme="minorHAnsi" w:cstheme="minorHAnsi"/>
          <w:b/>
          <w:bCs/>
          <w:i/>
          <w:iCs/>
          <w:color w:val="000000" w:themeColor="text1"/>
          <w:sz w:val="22"/>
          <w:szCs w:val="22"/>
        </w:rPr>
        <w:t>przedstawić racjonalne i przekonujące wyjaśnienie takiego działania” (KIO 1066/20, KIO 802/20).</w:t>
      </w:r>
    </w:p>
    <w:p w14:paraId="41DFB9CB" w14:textId="77777777" w:rsidR="003B733F" w:rsidRDefault="003B733F" w:rsidP="003B733F">
      <w:pPr>
        <w:spacing w:after="0"/>
        <w:jc w:val="both"/>
        <w:rPr>
          <w:rStyle w:val="fontstyle01"/>
          <w:rFonts w:asciiTheme="minorHAnsi" w:hAnsiTheme="minorHAnsi" w:cstheme="minorHAnsi"/>
          <w:b/>
          <w:bCs/>
          <w:color w:val="000000" w:themeColor="text1"/>
          <w:sz w:val="22"/>
          <w:szCs w:val="22"/>
        </w:rPr>
      </w:pPr>
    </w:p>
    <w:p w14:paraId="67CA7748" w14:textId="46518ECA" w:rsidR="00633415" w:rsidRPr="003B733F" w:rsidRDefault="00633415" w:rsidP="003B733F">
      <w:pPr>
        <w:spacing w:after="0"/>
        <w:jc w:val="both"/>
        <w:rPr>
          <w:rStyle w:val="fontstyle01"/>
          <w:rFonts w:asciiTheme="minorHAnsi" w:hAnsiTheme="minorHAnsi" w:cstheme="minorHAnsi"/>
          <w:b/>
          <w:bCs/>
          <w:color w:val="000000" w:themeColor="text1"/>
          <w:sz w:val="22"/>
          <w:szCs w:val="22"/>
        </w:rPr>
      </w:pPr>
      <w:r w:rsidRPr="003B733F">
        <w:rPr>
          <w:rStyle w:val="fontstyle01"/>
          <w:rFonts w:asciiTheme="minorHAnsi" w:hAnsiTheme="minorHAnsi" w:cstheme="minorHAnsi"/>
          <w:b/>
          <w:bCs/>
          <w:color w:val="000000" w:themeColor="text1"/>
          <w:sz w:val="22"/>
          <w:szCs w:val="22"/>
        </w:rPr>
        <w:t>Odpowiedź:</w:t>
      </w:r>
      <w:r w:rsidRPr="003B733F">
        <w:rPr>
          <w:rFonts w:cstheme="minorHAnsi"/>
        </w:rPr>
        <w:t xml:space="preserve"> </w:t>
      </w:r>
      <w:r w:rsidRPr="003B733F">
        <w:rPr>
          <w:rStyle w:val="fontstyle01"/>
          <w:rFonts w:asciiTheme="minorHAnsi" w:hAnsiTheme="minorHAnsi" w:cstheme="minorHAnsi"/>
          <w:color w:val="000000" w:themeColor="text1"/>
          <w:sz w:val="22"/>
          <w:szCs w:val="22"/>
        </w:rPr>
        <w:t>Mając na uwadze art.99 Ustawy PzP zamawiający przedstawiając przedmiot zamówienia -  nie opisuje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sidRPr="003B733F">
        <w:rPr>
          <w:rStyle w:val="fontstyle01"/>
          <w:rFonts w:asciiTheme="minorHAnsi" w:hAnsiTheme="minorHAnsi" w:cstheme="minorHAnsi"/>
          <w:b/>
          <w:bCs/>
          <w:color w:val="000000" w:themeColor="text1"/>
          <w:sz w:val="22"/>
          <w:szCs w:val="22"/>
        </w:rPr>
        <w:t>.</w:t>
      </w:r>
    </w:p>
    <w:p w14:paraId="509326F5" w14:textId="77777777" w:rsidR="003B733F" w:rsidRDefault="003B733F" w:rsidP="003B733F">
      <w:pPr>
        <w:spacing w:after="0"/>
        <w:jc w:val="both"/>
        <w:rPr>
          <w:rStyle w:val="fontstyle01"/>
          <w:rFonts w:asciiTheme="minorHAnsi" w:hAnsiTheme="minorHAnsi" w:cstheme="minorHAnsi"/>
          <w:b/>
          <w:bCs/>
          <w:i/>
          <w:iCs/>
          <w:color w:val="000000" w:themeColor="text1"/>
          <w:sz w:val="22"/>
          <w:szCs w:val="22"/>
          <w:u w:val="single"/>
        </w:rPr>
      </w:pPr>
    </w:p>
    <w:p w14:paraId="3BB2CA6A" w14:textId="3EE7757E" w:rsidR="00633415" w:rsidRPr="003B733F" w:rsidRDefault="00633415"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 xml:space="preserve">Pytanie 9. </w:t>
      </w:r>
      <w:r w:rsidRPr="003B733F">
        <w:rPr>
          <w:rStyle w:val="fontstyle01"/>
          <w:rFonts w:asciiTheme="minorHAnsi" w:hAnsiTheme="minorHAnsi" w:cstheme="minorHAnsi"/>
          <w:b/>
          <w:bCs/>
          <w:i/>
          <w:iCs/>
          <w:color w:val="000000" w:themeColor="text1"/>
          <w:sz w:val="22"/>
          <w:szCs w:val="22"/>
        </w:rPr>
        <w:t xml:space="preserve">Proszę o potwierdzenie że Zamawiający ma świadomość, że opis parametrów w tym postępowaniu to de facto przepisanie w całości opisu technicznego (karty technicznej) oraz wymaganych dokumentów konkretnego producenta. Na rynku istnieje duża konkurencja oraz </w:t>
      </w:r>
      <w:r w:rsidRPr="003B733F">
        <w:rPr>
          <w:rStyle w:val="fontstyle01"/>
          <w:rFonts w:asciiTheme="minorHAnsi" w:hAnsiTheme="minorHAnsi" w:cstheme="minorHAnsi"/>
          <w:b/>
          <w:bCs/>
          <w:i/>
          <w:iCs/>
          <w:color w:val="000000" w:themeColor="text1"/>
          <w:sz w:val="22"/>
          <w:szCs w:val="22"/>
        </w:rPr>
        <w:lastRenderedPageBreak/>
        <w:t>istnieją produkty równie dobre i spełniające wszelkie cele tego postępowania (o dopuszczenie takiego produktu wnosi w tym postępowaniu Pytający). Niestety, sposób ukształtowania parametrów i dokumentów zamówienia powoduje, że inne produkty nie mogą zostać zaoferowane, a Zamawiający pomimo ogłaszania postępowania w trybie konkurencyjnym już wie jaki produkt otrzyma i kto będzie wykonawcą inwestycji, bowiem tak opisał parametry wymaganej trawy, aby nikt inny nie mógł złożyć oferty w postępowaniu.</w:t>
      </w:r>
    </w:p>
    <w:p w14:paraId="19D482BF" w14:textId="77777777" w:rsidR="003B733F" w:rsidRDefault="003B733F" w:rsidP="003B733F">
      <w:pPr>
        <w:spacing w:after="0"/>
        <w:jc w:val="both"/>
        <w:rPr>
          <w:rStyle w:val="fontstyle01"/>
          <w:rFonts w:asciiTheme="minorHAnsi" w:hAnsiTheme="minorHAnsi" w:cstheme="minorHAnsi"/>
          <w:b/>
          <w:bCs/>
          <w:color w:val="000000" w:themeColor="text1"/>
          <w:sz w:val="22"/>
          <w:szCs w:val="22"/>
        </w:rPr>
      </w:pPr>
    </w:p>
    <w:p w14:paraId="4E033E2A" w14:textId="11C6440E" w:rsidR="00633415" w:rsidRPr="003B733F" w:rsidRDefault="00633415"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 xml:space="preserve">Odpowiedź: </w:t>
      </w:r>
      <w:r w:rsidRPr="003B733F">
        <w:rPr>
          <w:rStyle w:val="fontstyle01"/>
          <w:rFonts w:asciiTheme="minorHAnsi" w:hAnsiTheme="minorHAnsi" w:cstheme="minorHAnsi"/>
          <w:color w:val="000000" w:themeColor="text1"/>
          <w:sz w:val="22"/>
          <w:szCs w:val="22"/>
        </w:rPr>
        <w:t>Odsyłam do Ad.</w:t>
      </w:r>
      <w:r w:rsidR="00363062">
        <w:rPr>
          <w:rStyle w:val="fontstyle01"/>
          <w:rFonts w:asciiTheme="minorHAnsi" w:hAnsiTheme="minorHAnsi" w:cstheme="minorHAnsi"/>
          <w:color w:val="000000" w:themeColor="text1"/>
          <w:sz w:val="22"/>
          <w:szCs w:val="22"/>
        </w:rPr>
        <w:t>6</w:t>
      </w:r>
      <w:r w:rsidRPr="003B733F">
        <w:rPr>
          <w:rStyle w:val="fontstyle01"/>
          <w:rFonts w:asciiTheme="minorHAnsi" w:hAnsiTheme="minorHAnsi" w:cstheme="minorHAnsi"/>
          <w:color w:val="000000" w:themeColor="text1"/>
          <w:sz w:val="22"/>
          <w:szCs w:val="22"/>
        </w:rPr>
        <w:t>, Ad.</w:t>
      </w:r>
      <w:r w:rsidR="00363062">
        <w:rPr>
          <w:rStyle w:val="fontstyle01"/>
          <w:rFonts w:asciiTheme="minorHAnsi" w:hAnsiTheme="minorHAnsi" w:cstheme="minorHAnsi"/>
          <w:color w:val="000000" w:themeColor="text1"/>
          <w:sz w:val="22"/>
          <w:szCs w:val="22"/>
        </w:rPr>
        <w:t>7</w:t>
      </w:r>
      <w:r w:rsidRPr="003B733F">
        <w:rPr>
          <w:rStyle w:val="fontstyle01"/>
          <w:rFonts w:asciiTheme="minorHAnsi" w:hAnsiTheme="minorHAnsi" w:cstheme="minorHAnsi"/>
          <w:color w:val="000000" w:themeColor="text1"/>
          <w:sz w:val="22"/>
          <w:szCs w:val="22"/>
        </w:rPr>
        <w:t xml:space="preserve"> i Ad.</w:t>
      </w:r>
      <w:r w:rsidR="00363062">
        <w:rPr>
          <w:rStyle w:val="fontstyle01"/>
          <w:rFonts w:asciiTheme="minorHAnsi" w:hAnsiTheme="minorHAnsi" w:cstheme="minorHAnsi"/>
          <w:color w:val="000000" w:themeColor="text1"/>
          <w:sz w:val="22"/>
          <w:szCs w:val="22"/>
        </w:rPr>
        <w:t>8</w:t>
      </w:r>
    </w:p>
    <w:p w14:paraId="4478D43C" w14:textId="77777777" w:rsidR="003B733F" w:rsidRDefault="003B733F" w:rsidP="003B733F">
      <w:pPr>
        <w:spacing w:after="0"/>
        <w:jc w:val="both"/>
        <w:rPr>
          <w:rStyle w:val="fontstyle01"/>
          <w:rFonts w:asciiTheme="minorHAnsi" w:hAnsiTheme="minorHAnsi" w:cstheme="minorHAnsi"/>
          <w:b/>
          <w:bCs/>
          <w:i/>
          <w:iCs/>
          <w:color w:val="000000" w:themeColor="text1"/>
          <w:sz w:val="22"/>
          <w:szCs w:val="22"/>
          <w:u w:val="single"/>
        </w:rPr>
      </w:pPr>
    </w:p>
    <w:p w14:paraId="26E11648" w14:textId="08A88812" w:rsidR="00633415" w:rsidRPr="003B733F" w:rsidRDefault="00633415"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 xml:space="preserve">Pytanie 10. </w:t>
      </w:r>
      <w:r w:rsidRPr="003B733F">
        <w:rPr>
          <w:rStyle w:val="fontstyle01"/>
          <w:rFonts w:asciiTheme="minorHAnsi" w:hAnsiTheme="minorHAnsi" w:cstheme="minorHAnsi"/>
          <w:b/>
          <w:bCs/>
          <w:i/>
          <w:iCs/>
          <w:color w:val="000000" w:themeColor="text1"/>
          <w:sz w:val="22"/>
          <w:szCs w:val="22"/>
        </w:rPr>
        <w:t>Czy Zamawiający wprowadzi zapis, że typ shock padu, jego grubość oraz parametry mają być zgodne z badaniem specjalistycznego laboratorium np. Labosport lub ISA – Sport lub Sports Labs Ltd. Wymaganie tak szczegółowych parametrów jest przejawem ograniczania konkurencji. Istnieje wiele systemów traw syntetycznych z różnym shock padem spełniających, co jest najważniejsze, wymagania FIFA Quality Concept for Football Turf. Takie określenie parametrów shock padu jakie zastosował Zamawiający jest wymaganiem użytym tylko i wyłącznie w celu zawężenia konkurencji.</w:t>
      </w:r>
    </w:p>
    <w:p w14:paraId="529796F0" w14:textId="77777777" w:rsidR="003B733F" w:rsidRDefault="003B733F" w:rsidP="003B733F">
      <w:pPr>
        <w:spacing w:after="0"/>
        <w:jc w:val="both"/>
        <w:rPr>
          <w:rStyle w:val="fontstyle01"/>
          <w:rFonts w:asciiTheme="minorHAnsi" w:hAnsiTheme="minorHAnsi" w:cstheme="minorHAnsi"/>
          <w:b/>
          <w:bCs/>
          <w:color w:val="000000" w:themeColor="text1"/>
          <w:sz w:val="22"/>
          <w:szCs w:val="22"/>
        </w:rPr>
      </w:pPr>
    </w:p>
    <w:p w14:paraId="53714C40" w14:textId="6A72D663" w:rsidR="00633415" w:rsidRPr="003B733F" w:rsidRDefault="00633415"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Odpowiedź:</w:t>
      </w:r>
      <w:r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color w:val="000000" w:themeColor="text1"/>
          <w:sz w:val="22"/>
          <w:szCs w:val="22"/>
        </w:rPr>
        <w:t>Wymagania zgodnie ze zmienionym PFU i STWIOR.</w:t>
      </w:r>
    </w:p>
    <w:p w14:paraId="6A7DEF96" w14:textId="77777777" w:rsidR="003B733F" w:rsidRDefault="003B733F" w:rsidP="003B733F">
      <w:pPr>
        <w:spacing w:after="0"/>
        <w:jc w:val="both"/>
        <w:rPr>
          <w:rStyle w:val="fontstyle01"/>
          <w:rFonts w:asciiTheme="minorHAnsi" w:hAnsiTheme="minorHAnsi" w:cstheme="minorHAnsi"/>
          <w:b/>
          <w:bCs/>
          <w:i/>
          <w:iCs/>
          <w:color w:val="000000" w:themeColor="text1"/>
          <w:sz w:val="22"/>
          <w:szCs w:val="22"/>
          <w:u w:val="single"/>
        </w:rPr>
      </w:pPr>
    </w:p>
    <w:p w14:paraId="27E230EE" w14:textId="1C866283" w:rsidR="00633415" w:rsidRPr="003B733F" w:rsidRDefault="00633415"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Pytanie 11.</w:t>
      </w:r>
      <w:r w:rsidRPr="003B733F">
        <w:rPr>
          <w:rStyle w:val="fontstyle01"/>
          <w:rFonts w:asciiTheme="minorHAnsi" w:hAnsiTheme="minorHAnsi" w:cstheme="minorHAnsi"/>
          <w:b/>
          <w:bCs/>
          <w:i/>
          <w:iCs/>
          <w:color w:val="000000" w:themeColor="text1"/>
          <w:sz w:val="22"/>
          <w:szCs w:val="22"/>
        </w:rPr>
        <w:t xml:space="preserve"> Czy Zamawiający zrezygnuje z wymogu dostarczenia ,,Raport z badań przeprowadzony przez niezależne (i akredytowane) laboratorium potwierdzające, że trawa syntetyczna jest przyjazna dla środowiska zgodnie z normą DIN 18035-7:2019-12 „Boisko sportowe – Część 7: Systemy murawy syntetycznej”, Załącznik B: Zalecenia dotyczące ochrony środowiska. Pragniemy zauważyć, że jest to niemiecka norma i nie obowiązuje w Polsce. Powszechnie obowiązującą normą w Polsce jest norma PN-EN 15330-1:2014. Ponadto dokumentem potwierdzającym, że nawierzchnia w żaden sposób nie wpłynie negatywnie na zdrowie i środowisko jest atest PZH.</w:t>
      </w:r>
    </w:p>
    <w:p w14:paraId="22D0B375" w14:textId="77777777" w:rsidR="003B733F" w:rsidRDefault="003B733F" w:rsidP="003B733F">
      <w:pPr>
        <w:spacing w:after="0"/>
        <w:jc w:val="both"/>
        <w:rPr>
          <w:rStyle w:val="fontstyle01"/>
          <w:rFonts w:asciiTheme="minorHAnsi" w:hAnsiTheme="minorHAnsi" w:cstheme="minorHAnsi"/>
          <w:b/>
          <w:bCs/>
          <w:color w:val="000000" w:themeColor="text1"/>
          <w:sz w:val="22"/>
          <w:szCs w:val="22"/>
        </w:rPr>
      </w:pPr>
    </w:p>
    <w:p w14:paraId="645339DB" w14:textId="7C5D4FF0" w:rsidR="000E07B1" w:rsidRPr="003B733F" w:rsidRDefault="000E07B1"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 xml:space="preserve">Odpowiedź: </w:t>
      </w:r>
      <w:r w:rsidRPr="003B733F">
        <w:rPr>
          <w:rStyle w:val="fontstyle01"/>
          <w:rFonts w:asciiTheme="minorHAnsi" w:hAnsiTheme="minorHAnsi" w:cstheme="minorHAnsi"/>
          <w:color w:val="000000" w:themeColor="text1"/>
          <w:sz w:val="22"/>
          <w:szCs w:val="22"/>
        </w:rPr>
        <w:t>Wymagania zgodnie ze zmienionym PFU i STWIOR.</w:t>
      </w:r>
    </w:p>
    <w:p w14:paraId="6D5A3628" w14:textId="77777777" w:rsidR="003B733F" w:rsidRDefault="003B733F" w:rsidP="003B733F">
      <w:pPr>
        <w:spacing w:after="0"/>
        <w:jc w:val="both"/>
        <w:rPr>
          <w:rStyle w:val="fontstyle01"/>
          <w:rFonts w:asciiTheme="minorHAnsi" w:hAnsiTheme="minorHAnsi" w:cstheme="minorHAnsi"/>
          <w:b/>
          <w:bCs/>
          <w:i/>
          <w:iCs/>
          <w:color w:val="000000" w:themeColor="text1"/>
          <w:sz w:val="22"/>
          <w:szCs w:val="22"/>
          <w:u w:val="single"/>
        </w:rPr>
      </w:pPr>
    </w:p>
    <w:p w14:paraId="773F3A99" w14:textId="3B81605A"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Pytanie 12.</w:t>
      </w:r>
      <w:r w:rsidRPr="003B733F">
        <w:rPr>
          <w:rStyle w:val="fontstyle01"/>
          <w:rFonts w:asciiTheme="minorHAnsi" w:hAnsiTheme="minorHAnsi" w:cstheme="minorHAnsi"/>
          <w:i/>
          <w:iCs/>
          <w:color w:val="000000" w:themeColor="text1"/>
          <w:sz w:val="22"/>
          <w:szCs w:val="22"/>
          <w:u w:val="single"/>
        </w:rPr>
        <w:t xml:space="preserve"> </w:t>
      </w:r>
      <w:r w:rsidRPr="003B733F">
        <w:rPr>
          <w:rStyle w:val="fontstyle01"/>
          <w:rFonts w:asciiTheme="minorHAnsi" w:hAnsiTheme="minorHAnsi" w:cstheme="minorHAnsi"/>
          <w:b/>
          <w:bCs/>
          <w:i/>
          <w:iCs/>
          <w:color w:val="000000" w:themeColor="text1"/>
          <w:sz w:val="22"/>
          <w:szCs w:val="22"/>
        </w:rPr>
        <w:t>Czy Zamawiający zaakceptuje raport z badań Lisport na min. 200 000 cykli? Jeden cykl Lisport odpowiada 1 h użytkowania boiska, czyli 500 000 cykli = 500 000 h (aktualny wymóg Zamawiającego). Jeżeli Zamawiający użytkowałby boisko po 10h dziennie x 365 dni (to założenie już jest przyjęte na wyrost), czyli 3650 h / rok, będzie to znaczyło, iż dana nawierzchnia może być użytkowana bez straty jakości przez okres ponad 130 lat. Założenie to stoi w oczywistej sprzeczności nie tylko z oczekiwaniami gwarancyjnymi Zamawiającego, z przyjętymi realiami rynkowymi, ale co najważniejsze ze zdrowym rozsądkiem. Pozostawienie wymogu dostarczenia tego badania dla tak wygórowanej liczby cykli Lisport może mieć tylko na celu ograniczenie konkurencji poprzez opisanie systemu sztucznej trawy konkretnego producenta.</w:t>
      </w:r>
    </w:p>
    <w:p w14:paraId="01C37211" w14:textId="77777777" w:rsidR="003B733F" w:rsidRDefault="003B733F" w:rsidP="003B733F">
      <w:pPr>
        <w:spacing w:after="0"/>
        <w:jc w:val="both"/>
        <w:rPr>
          <w:rStyle w:val="fontstyle01"/>
          <w:rFonts w:asciiTheme="minorHAnsi" w:hAnsiTheme="minorHAnsi" w:cstheme="minorHAnsi"/>
          <w:b/>
          <w:bCs/>
          <w:color w:val="000000" w:themeColor="text1"/>
          <w:sz w:val="22"/>
          <w:szCs w:val="22"/>
        </w:rPr>
      </w:pPr>
    </w:p>
    <w:p w14:paraId="501DDA42" w14:textId="38DC9817" w:rsidR="000E07B1" w:rsidRPr="003B733F" w:rsidRDefault="000E07B1"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 xml:space="preserve">Odpowiedź: </w:t>
      </w:r>
      <w:r w:rsidRPr="003B733F">
        <w:rPr>
          <w:rStyle w:val="fontstyle01"/>
          <w:rFonts w:asciiTheme="minorHAnsi" w:hAnsiTheme="minorHAnsi" w:cstheme="minorHAnsi"/>
          <w:color w:val="000000" w:themeColor="text1"/>
          <w:sz w:val="22"/>
          <w:szCs w:val="22"/>
        </w:rPr>
        <w:t>Zamawiający uzna raport z badań testu Lisport na min. 300.000 cykli dla włókna monofilowego oferowanej trawy syntetycznej (zmieniono STWIOR i PFU)</w:t>
      </w:r>
    </w:p>
    <w:p w14:paraId="3049C79A" w14:textId="77777777" w:rsidR="000E07B1" w:rsidRPr="003B733F" w:rsidRDefault="000E07B1" w:rsidP="003B733F">
      <w:pPr>
        <w:spacing w:after="0"/>
        <w:jc w:val="both"/>
        <w:rPr>
          <w:rStyle w:val="fontstyle01"/>
          <w:rFonts w:asciiTheme="minorHAnsi" w:hAnsiTheme="minorHAnsi" w:cstheme="minorHAnsi"/>
          <w:color w:val="000000" w:themeColor="text1"/>
          <w:sz w:val="22"/>
          <w:szCs w:val="22"/>
        </w:rPr>
      </w:pPr>
    </w:p>
    <w:p w14:paraId="183EC7BA"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Pytanie 13</w:t>
      </w:r>
      <w:r w:rsidRPr="003B733F">
        <w:rPr>
          <w:rStyle w:val="fontstyle01"/>
          <w:rFonts w:asciiTheme="minorHAnsi" w:hAnsiTheme="minorHAnsi" w:cstheme="minorHAnsi"/>
          <w:b/>
          <w:bCs/>
          <w:i/>
          <w:iCs/>
          <w:color w:val="000000" w:themeColor="text1"/>
          <w:sz w:val="22"/>
          <w:szCs w:val="22"/>
        </w:rPr>
        <w:t>. Reasumując, czy zgodnie z zasadą uczciwej konkurencji (art. 99 ust. 1 Pzp) Zamawiający rozszerzy dopuszczalne parametry trawy tak, aby w postępowaniu mogło wziąć udział więcej niż jeden wykonawca/producent? Prosimy o zaakceptowanie nawierzchni jednego z ośmiu preferowanych producentów przez FIFA o parametrach i dokumentach jak niżej:</w:t>
      </w:r>
    </w:p>
    <w:p w14:paraId="3B80F008"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Proponowane rozwiązanie równoważne</w:t>
      </w:r>
    </w:p>
    <w:p w14:paraId="5C8524FE"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Trawa Tuftowana</w:t>
      </w:r>
    </w:p>
    <w:p w14:paraId="7AE9060D"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Wysokość włókna 45mm</w:t>
      </w:r>
    </w:p>
    <w:p w14:paraId="589A227F"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lastRenderedPageBreak/>
        <w:t>Wypełnienie trawy: piasek kwarcowy oraz EPDM z recyclingu.</w:t>
      </w:r>
    </w:p>
    <w:p w14:paraId="2C2A530E"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Dtex pęczka – min. 20.000</w:t>
      </w:r>
    </w:p>
    <w:p w14:paraId="6EC10FA8"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Grubość włókna – włókno monofilowe min. 370, włókno fibrylowane min. 115 μm,</w:t>
      </w:r>
    </w:p>
    <w:p w14:paraId="7F829C7C"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Ilość pęczków – min. 9.500/m2,</w:t>
      </w:r>
    </w:p>
    <w:p w14:paraId="50BA3602"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Ilość włókien – 134 000 m2</w:t>
      </w:r>
    </w:p>
    <w:p w14:paraId="12B6D966"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Masa runa – min. 1 900 g/m2,</w:t>
      </w:r>
    </w:p>
    <w:p w14:paraId="0BBEDC66"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Waga całkowita – 2900g/m2</w:t>
      </w:r>
    </w:p>
    <w:p w14:paraId="3419ED54"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Siła wyrywania pęczka po starzeniu - min. 65 N</w:t>
      </w:r>
    </w:p>
    <w:p w14:paraId="61B272CD"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Łączenie klejone po starzeniu – min. 170N/100mm</w:t>
      </w:r>
    </w:p>
    <w:p w14:paraId="15EB00A9"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Przepuszczalność wody przez system – min. 1700 mm/h</w:t>
      </w:r>
    </w:p>
    <w:p w14:paraId="7385133B"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Przepuszczalność wody przez nawierzchnię – min. 4500mm/h</w:t>
      </w:r>
    </w:p>
    <w:p w14:paraId="533FB558"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Kolor nawierzchni – 2 odcienie zieleni</w:t>
      </w:r>
    </w:p>
    <w:p w14:paraId="4E1CD4FF"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Podkład PU</w:t>
      </w:r>
    </w:p>
    <w:p w14:paraId="5C0944A9" w14:textId="41E6D415"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Mata elastyczna shockpad – 10mm</w:t>
      </w:r>
    </w:p>
    <w:p w14:paraId="7AB1DA3B" w14:textId="58BD71CA"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Wymagania zgodnie ze zmienionym PFU i STWIOR</w:t>
      </w:r>
    </w:p>
    <w:p w14:paraId="5E9B9439" w14:textId="77777777" w:rsidR="000E07B1" w:rsidRPr="003B733F" w:rsidRDefault="000E07B1" w:rsidP="003B733F">
      <w:pPr>
        <w:spacing w:after="0"/>
        <w:jc w:val="both"/>
        <w:rPr>
          <w:rStyle w:val="fontstyle01"/>
          <w:rFonts w:asciiTheme="minorHAnsi" w:hAnsiTheme="minorHAnsi" w:cstheme="minorHAnsi"/>
          <w:color w:val="000000" w:themeColor="text1"/>
          <w:sz w:val="22"/>
          <w:szCs w:val="22"/>
          <w:u w:val="single"/>
        </w:rPr>
      </w:pPr>
    </w:p>
    <w:p w14:paraId="6E862BF9" w14:textId="17BF0CB4" w:rsidR="000E07B1" w:rsidRPr="003B733F" w:rsidRDefault="000E07B1" w:rsidP="003B733F">
      <w:pPr>
        <w:spacing w:after="0"/>
        <w:jc w:val="both"/>
        <w:rPr>
          <w:rStyle w:val="fontstyle01"/>
          <w:rFonts w:asciiTheme="minorHAnsi" w:hAnsiTheme="minorHAnsi" w:cstheme="minorHAnsi"/>
          <w:color w:val="000000" w:themeColor="text1"/>
          <w:sz w:val="22"/>
          <w:szCs w:val="22"/>
        </w:rPr>
      </w:pPr>
      <w:r w:rsidRPr="003B733F">
        <w:rPr>
          <w:rStyle w:val="fontstyle01"/>
          <w:rFonts w:asciiTheme="minorHAnsi" w:hAnsiTheme="minorHAnsi" w:cstheme="minorHAnsi"/>
          <w:b/>
          <w:bCs/>
          <w:color w:val="000000" w:themeColor="text1"/>
          <w:sz w:val="22"/>
          <w:szCs w:val="22"/>
        </w:rPr>
        <w:t>Odpowiedź:</w:t>
      </w:r>
      <w:r w:rsidRPr="003B733F">
        <w:rPr>
          <w:rStyle w:val="fontstyle01"/>
          <w:rFonts w:asciiTheme="minorHAnsi" w:hAnsiTheme="minorHAnsi" w:cstheme="minorHAnsi"/>
          <w:color w:val="000000" w:themeColor="text1"/>
          <w:sz w:val="22"/>
          <w:szCs w:val="22"/>
        </w:rPr>
        <w:t xml:space="preserve"> Wymagania zgodnie ze zmienionym PFU i STWIOR</w:t>
      </w:r>
    </w:p>
    <w:p w14:paraId="053D6D4F" w14:textId="77777777" w:rsidR="000E07B1" w:rsidRPr="003B733F" w:rsidRDefault="000E07B1" w:rsidP="003B733F">
      <w:pPr>
        <w:spacing w:after="0"/>
        <w:jc w:val="both"/>
        <w:rPr>
          <w:rStyle w:val="fontstyle01"/>
          <w:rFonts w:asciiTheme="minorHAnsi" w:hAnsiTheme="minorHAnsi" w:cstheme="minorHAnsi"/>
          <w:color w:val="000000" w:themeColor="text1"/>
          <w:sz w:val="22"/>
          <w:szCs w:val="22"/>
          <w:u w:val="single"/>
        </w:rPr>
      </w:pPr>
    </w:p>
    <w:p w14:paraId="73449582" w14:textId="023CD4C4"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u w:val="single"/>
        </w:rPr>
        <w:t>Pytanie 14.</w:t>
      </w:r>
      <w:r w:rsidRPr="003B733F">
        <w:rPr>
          <w:rStyle w:val="fontstyle01"/>
          <w:rFonts w:asciiTheme="minorHAnsi" w:hAnsiTheme="minorHAnsi" w:cstheme="minorHAnsi"/>
          <w:b/>
          <w:bCs/>
          <w:i/>
          <w:iCs/>
          <w:color w:val="000000" w:themeColor="text1"/>
          <w:sz w:val="22"/>
          <w:szCs w:val="22"/>
        </w:rPr>
        <w:t xml:space="preserve"> Przy obecnych zapisach dotyczących trawy syntetycznej wymogi spełnia tylko jeden producent – firma ACT Global. Tak więc, pozostaje do wyboru tylko jeden produkt, na którego uzyskanie oferty nie ma szans ani nie można ofertować traw innych producentów o wysokich</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parametrach technicznych, użytkowych i sportowych. Z uwagi na powyższe, prosimy o wyjaśnienie, dlaczego Zamawiający tak opisał przedmiot zamówienia, że spełnia go tylko firma ACT Global?</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Czy Zamawiający działając w oparciu o zapisy ustawy o PZP dopuści drugi równoważny</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produkt, czołowego europejskiego producenta, którego produkty od kilkunastu lat zadawalają</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piłkarzy pierwszoligowych klubów piłkarskich?</w:t>
      </w:r>
    </w:p>
    <w:p w14:paraId="29289636"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Jeżeli tak, to prosimy o potwierdzenie, że Zamawiający dopuści produkt posiadający:</w:t>
      </w:r>
    </w:p>
    <w:p w14:paraId="1517645F"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 grubość włókna fibrylowanego min 116 mikronów</w:t>
      </w:r>
    </w:p>
    <w:p w14:paraId="3D724051" w14:textId="77777777"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 lateksowy podkład trawy</w:t>
      </w:r>
    </w:p>
    <w:p w14:paraId="62C294C8" w14:textId="4D2F4938" w:rsidR="000E07B1" w:rsidRPr="003B733F" w:rsidRDefault="000E07B1" w:rsidP="003B733F">
      <w:pPr>
        <w:spacing w:after="0"/>
        <w:jc w:val="both"/>
        <w:rPr>
          <w:rStyle w:val="fontstyle01"/>
          <w:rFonts w:asciiTheme="minorHAnsi" w:hAnsiTheme="minorHAnsi" w:cstheme="minorHAnsi"/>
          <w:b/>
          <w:bCs/>
          <w:i/>
          <w:iCs/>
          <w:color w:val="000000" w:themeColor="text1"/>
          <w:sz w:val="22"/>
          <w:szCs w:val="22"/>
        </w:rPr>
      </w:pPr>
      <w:r w:rsidRPr="003B733F">
        <w:rPr>
          <w:rStyle w:val="fontstyle01"/>
          <w:rFonts w:asciiTheme="minorHAnsi" w:hAnsiTheme="minorHAnsi" w:cstheme="minorHAnsi"/>
          <w:b/>
          <w:bCs/>
          <w:i/>
          <w:iCs/>
          <w:color w:val="000000" w:themeColor="text1"/>
          <w:sz w:val="22"/>
          <w:szCs w:val="22"/>
        </w:rPr>
        <w:t>- Zamawiający uzna raport z badań testu Lisport na min. 300.000 cykli dla włókna</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monofilowego oferowanej trawy syntetycznej przeprowadzony przez niezależne laboratorium</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zgodnie z normą EN 15306 „Nawierzchnie do otwartych terenów sportowych – narażenie trawy</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na oddziaływania” potwierdzający, że włókno monofilowe po min. 300.000 cykli nie wykazuje</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widocznych uszkodzeń. Badanie ma być wykonane przez niezależne, akredytowane</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laboratorium zgodnie z ISO/IEC 17025:2018</w:t>
      </w:r>
      <w:r w:rsidR="003B733F" w:rsidRPr="003B733F">
        <w:rPr>
          <w:rStyle w:val="fontstyle01"/>
          <w:rFonts w:asciiTheme="minorHAnsi" w:hAnsiTheme="minorHAnsi" w:cstheme="minorHAnsi"/>
          <w:b/>
          <w:bCs/>
          <w:i/>
          <w:iCs/>
          <w:color w:val="000000" w:themeColor="text1"/>
          <w:sz w:val="22"/>
          <w:szCs w:val="22"/>
        </w:rPr>
        <w:t xml:space="preserve">. </w:t>
      </w:r>
      <w:r w:rsidRPr="003B733F">
        <w:rPr>
          <w:rStyle w:val="fontstyle01"/>
          <w:rFonts w:asciiTheme="minorHAnsi" w:hAnsiTheme="minorHAnsi" w:cstheme="minorHAnsi"/>
          <w:b/>
          <w:bCs/>
          <w:i/>
          <w:iCs/>
          <w:color w:val="000000" w:themeColor="text1"/>
          <w:sz w:val="22"/>
          <w:szCs w:val="22"/>
        </w:rPr>
        <w:t>Pozostałe parametry i dokumenty zgodnie z wymaganiami Zamawiającego.</w:t>
      </w:r>
    </w:p>
    <w:p w14:paraId="31307F14" w14:textId="77777777" w:rsidR="00A950E7" w:rsidRPr="003B733F" w:rsidRDefault="00A950E7" w:rsidP="003B733F">
      <w:pPr>
        <w:spacing w:after="0"/>
        <w:jc w:val="both"/>
        <w:rPr>
          <w:rStyle w:val="fontstyle01"/>
          <w:rFonts w:asciiTheme="minorHAnsi" w:hAnsiTheme="minorHAnsi" w:cstheme="minorHAnsi"/>
          <w:i/>
        </w:rPr>
      </w:pPr>
    </w:p>
    <w:p w14:paraId="5EA43F9E"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b/>
          <w:bCs/>
          <w:iCs/>
          <w:sz w:val="22"/>
          <w:szCs w:val="22"/>
        </w:rPr>
        <w:t xml:space="preserve">Odpowiedź:  </w:t>
      </w:r>
      <w:r w:rsidRPr="003B733F">
        <w:rPr>
          <w:rStyle w:val="fontstyle01"/>
          <w:rFonts w:asciiTheme="minorHAnsi" w:hAnsiTheme="minorHAnsi" w:cstheme="minorHAnsi"/>
          <w:iCs/>
        </w:rPr>
        <w:t xml:space="preserve">Należy przede wszystkim zaznaczyć, że przedmiotowe zamówienie dotyczy wykonania robót budowlanych a nie dostawy produktu - trawy. Zamawiający, kierując się zasadą zapewnienia najwyższej jakości inwestycji, przedstawił dokumentację, która zawiera sposób wykonania robót z określeniem parametrów technicznych materiałów przeznaczonych do wbudowania, które w jego ocenie gwarantowały maksymalną trwałość i funkcjonalność w cyklu użytkowania nawierzchni. Rozwiązania te opierają się na sprawdzonych technologiach i dotychczasowych realizacjach, przy jednoczesnym uwzględnieniu aktualnych standardów branżowych i wymogów. Zgodnie z art. Art.  102 Ustawy z dnia 11 września 2019 r. -  Prawo zamówień publicznych ( Dz. U. z 2025 r. poz. 620 ze zm.) cyt. „zamawiający określa w opisie przedmiotu zamówienia na roboty budowlane wymagane cechy materiału, produktu lub </w:t>
      </w:r>
      <w:r w:rsidRPr="003B733F">
        <w:rPr>
          <w:rStyle w:val="fontstyle01"/>
          <w:rFonts w:asciiTheme="minorHAnsi" w:hAnsiTheme="minorHAnsi" w:cstheme="minorHAnsi"/>
          <w:iCs/>
        </w:rPr>
        <w:lastRenderedPageBreak/>
        <w:t>usługi, odpowiadające przeznaczeniu zamierzonemu przez zamawiającego, które mogą dotyczyć w szczególności:</w:t>
      </w:r>
    </w:p>
    <w:p w14:paraId="5E297AB8"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1)określonych poziomów oddziaływania na środowisko i klimat;</w:t>
      </w:r>
    </w:p>
    <w:p w14:paraId="7855DB61"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2)wymagań w zakresie dostępności dla osób niepełnosprawnych;</w:t>
      </w:r>
    </w:p>
    <w:p w14:paraId="10CDFFB8"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3)określonej wydajności, bezpieczeństwa lub wymiarów, w tym procedur dotyczących zapewnienia jakości;</w:t>
      </w:r>
    </w:p>
    <w:p w14:paraId="49D7E37A"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4)określonej terminologii, symboli, testów i metod testowania;</w:t>
      </w:r>
    </w:p>
    <w:p w14:paraId="7A3E8A8C"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5)określonego opakowania i oznakowania;</w:t>
      </w:r>
    </w:p>
    <w:p w14:paraId="4C5604C9"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6)określonej etykiety;</w:t>
      </w:r>
    </w:p>
    <w:p w14:paraId="1B026A77"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7)instrukcji użytkowania;</w:t>
      </w:r>
    </w:p>
    <w:p w14:paraId="46BB09BB"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8)procesów i metod produkcji na każdym etapie cyklu życia obiektów budowlanych;</w:t>
      </w:r>
    </w:p>
    <w:p w14:paraId="1071351C"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9)dodatkowych badań i testów przeprowadzanych przez jednostki autoryzowane w rozumieniu ustawy z dnia 13 kwietnia 2016 r. o systemach oceny zgodności i nadzoru rynku (Dz. U. z 2022 r. poz. 1854 oraz z 2024 r. poz. 1089);</w:t>
      </w:r>
    </w:p>
    <w:p w14:paraId="620F3568"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10)określonych zasad dotyczących projektowania i kosztorysowania;</w:t>
      </w:r>
    </w:p>
    <w:p w14:paraId="7C80C67F"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11)warunków testowania, kontroli i odbioru obiektów budowlanych;</w:t>
      </w:r>
    </w:p>
    <w:p w14:paraId="734BEFAB"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12)metod i technik budowy;</w:t>
      </w:r>
    </w:p>
    <w:p w14:paraId="433664F0"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13)wszelkich pozostałych warunków technicznych”.</w:t>
      </w:r>
    </w:p>
    <w:p w14:paraId="6DE1AC8F"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 xml:space="preserve">Dodatkowo mając na uwadze art. 99 – Ustawy PzP zamawiający przedstawiając przedmiot zamówienia -  nie opisuje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Zatem Zamawiający nie preferuje </w:t>
      </w:r>
    </w:p>
    <w:p w14:paraId="18CB21BB" w14:textId="74409D5B"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 xml:space="preserve">żadnego konkretnego producenta, a jego działania mają na celu zabezpieczenie interesu publicznego poprzez zapewnienie trwałości i jakości inwestycji. Z informacji powziętych przez Zamawiającego wynika, że na rynku jest co najmniej kilku producentów spełniających wymogi zawarte w dokumentacji przetargowej. Mimo to, celem zwiększenia konkurencyjności, Zamawiający wprowadza częściowe zmiany w PFU oraz STWIOR. </w:t>
      </w:r>
    </w:p>
    <w:p w14:paraId="43D9D4E8"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 Zamawiający dopuszcza minimalna grubość włókna fibrylowanego na poziomie 116 mikronów (zmieniono STWIOR i PFU)</w:t>
      </w:r>
    </w:p>
    <w:p w14:paraId="16C9972F" w14:textId="77777777"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 Tak, Zamawiający uzna raport z badań testu Lisport na min. 300.000 cykli dla włókna monofilowego oferowanej trawy syntetycznej (zmieniono STWIOR i PFU)</w:t>
      </w:r>
    </w:p>
    <w:p w14:paraId="04E0F801" w14:textId="4EB9A3D1" w:rsidR="003B733F" w:rsidRPr="003B733F" w:rsidRDefault="003B733F" w:rsidP="003B733F">
      <w:pPr>
        <w:spacing w:after="0"/>
        <w:jc w:val="both"/>
        <w:rPr>
          <w:rStyle w:val="fontstyle01"/>
          <w:rFonts w:asciiTheme="minorHAnsi" w:hAnsiTheme="minorHAnsi" w:cstheme="minorHAnsi"/>
          <w:iCs/>
        </w:rPr>
      </w:pPr>
      <w:r w:rsidRPr="003B733F">
        <w:rPr>
          <w:rStyle w:val="fontstyle01"/>
          <w:rFonts w:asciiTheme="minorHAnsi" w:hAnsiTheme="minorHAnsi" w:cstheme="minorHAnsi"/>
          <w:iCs/>
        </w:rPr>
        <w:t>- Dla Użytkowników/Inwestorów oczekujących najwyższej trwałości, komfortu, estetyki i bezpieczeństwa zdrowotnego, szczególnie przy intensywnym użytkowaniu (dzieci, zwierzęta, klimat), PU jest zdecydowaną przewagą nad tradycyjnym SBR-lateksowym spodem. Zamawiający nie akceptuje tzw. SBR do zasypu sztucznej trawy ze względu na bezpieczeństwo użytkowników. Z podobnych powodów Zamawiający wymaga spód trawy wykonany z PU lub PP/PE (zgodnie z dokumentacją załączona do postępowania), zamiast spodu lateksowego który jest z domieszką właśnie SBR-u. Wg wiedzy Zamawiającego większość producentów sztucznych traw posiada w swojej ofercie produkty z także ze spodem z PU lub PP/PE. W ramach poszerzenia konkurencyjności Zamawiający dopuszcza spód tzw. PP/PE - poliolefinowy jako rodzaj spodu ekologicznego. Spód lateksowy NIE jest dopuszczony.</w:t>
      </w:r>
    </w:p>
    <w:p w14:paraId="3782F4EA" w14:textId="77777777" w:rsidR="00A950E7" w:rsidRPr="003B733F" w:rsidRDefault="00A950E7" w:rsidP="003B733F">
      <w:pPr>
        <w:spacing w:after="0"/>
        <w:ind w:left="6372"/>
        <w:jc w:val="both"/>
        <w:rPr>
          <w:rStyle w:val="fontstyle01"/>
          <w:rFonts w:asciiTheme="minorHAnsi" w:hAnsiTheme="minorHAnsi" w:cstheme="minorHAnsi"/>
          <w:i/>
        </w:rPr>
      </w:pPr>
    </w:p>
    <w:p w14:paraId="6479D67E" w14:textId="77777777" w:rsidR="00CE40DC" w:rsidRPr="003B733F" w:rsidRDefault="00CE40DC" w:rsidP="003B733F">
      <w:pPr>
        <w:spacing w:after="0"/>
        <w:ind w:left="6372"/>
        <w:jc w:val="both"/>
        <w:rPr>
          <w:rStyle w:val="fontstyle01"/>
          <w:rFonts w:asciiTheme="minorHAnsi" w:hAnsiTheme="minorHAnsi" w:cstheme="minorHAnsi"/>
          <w:i/>
        </w:rPr>
      </w:pPr>
    </w:p>
    <w:p w14:paraId="464BCBFD" w14:textId="77777777" w:rsidR="003B733F" w:rsidRPr="003B733F" w:rsidRDefault="003B733F" w:rsidP="003B733F">
      <w:pPr>
        <w:spacing w:after="0"/>
        <w:ind w:left="6372"/>
        <w:jc w:val="both"/>
        <w:rPr>
          <w:rStyle w:val="fontstyle01"/>
          <w:rFonts w:asciiTheme="minorHAnsi" w:hAnsiTheme="minorHAnsi" w:cstheme="minorHAnsi"/>
          <w:i/>
        </w:rPr>
      </w:pPr>
    </w:p>
    <w:p w14:paraId="1FD6FDF8" w14:textId="77777777" w:rsidR="003B733F" w:rsidRPr="003B733F" w:rsidRDefault="003B733F" w:rsidP="003B733F">
      <w:pPr>
        <w:spacing w:after="0"/>
        <w:ind w:left="6372"/>
        <w:jc w:val="both"/>
        <w:rPr>
          <w:rStyle w:val="fontstyle01"/>
          <w:rFonts w:asciiTheme="minorHAnsi" w:hAnsiTheme="minorHAnsi" w:cstheme="minorHAnsi"/>
          <w:i/>
        </w:rPr>
      </w:pPr>
    </w:p>
    <w:p w14:paraId="5D8FF1AA" w14:textId="49CA3A98" w:rsidR="00E87BC5" w:rsidRPr="003B733F" w:rsidRDefault="00340E95" w:rsidP="003B733F">
      <w:pPr>
        <w:spacing w:after="0"/>
        <w:ind w:left="6372" w:right="992"/>
        <w:jc w:val="both"/>
        <w:rPr>
          <w:rStyle w:val="fontstyle01"/>
          <w:rFonts w:asciiTheme="minorHAnsi" w:hAnsiTheme="minorHAnsi" w:cstheme="minorHAnsi"/>
          <w:i/>
        </w:rPr>
      </w:pPr>
      <w:r w:rsidRPr="003B733F">
        <w:rPr>
          <w:rStyle w:val="fontstyle01"/>
          <w:rFonts w:asciiTheme="minorHAnsi" w:hAnsiTheme="minorHAnsi" w:cstheme="minorHAnsi"/>
          <w:i/>
        </w:rPr>
        <w:t>Krystyna</w:t>
      </w:r>
      <w:r w:rsidR="003B733F">
        <w:rPr>
          <w:rStyle w:val="fontstyle01"/>
          <w:rFonts w:asciiTheme="minorHAnsi" w:hAnsiTheme="minorHAnsi" w:cstheme="minorHAnsi"/>
          <w:i/>
        </w:rPr>
        <w:t xml:space="preserve"> </w:t>
      </w:r>
      <w:r w:rsidRPr="003B733F">
        <w:rPr>
          <w:rStyle w:val="fontstyle01"/>
          <w:rFonts w:asciiTheme="minorHAnsi" w:hAnsiTheme="minorHAnsi" w:cstheme="minorHAnsi"/>
          <w:i/>
        </w:rPr>
        <w:t>Andruch</w:t>
      </w:r>
      <w:r w:rsidRPr="003B733F">
        <w:rPr>
          <w:rFonts w:cstheme="minorHAnsi"/>
          <w:i/>
          <w:color w:val="000000"/>
        </w:rPr>
        <w:br/>
      </w:r>
    </w:p>
    <w:p w14:paraId="13BFDA5A" w14:textId="312684DA" w:rsidR="002A1035" w:rsidRPr="003B733F" w:rsidRDefault="00E87BC5" w:rsidP="003B733F">
      <w:pPr>
        <w:spacing w:after="0"/>
        <w:ind w:left="6372" w:right="992"/>
        <w:jc w:val="both"/>
        <w:rPr>
          <w:rStyle w:val="fontstyle01"/>
          <w:rFonts w:asciiTheme="minorHAnsi" w:hAnsiTheme="minorHAnsi" w:cstheme="minorHAnsi"/>
          <w:i/>
        </w:rPr>
      </w:pPr>
      <w:r w:rsidRPr="003B733F">
        <w:rPr>
          <w:rStyle w:val="fontstyle01"/>
          <w:rFonts w:asciiTheme="minorHAnsi" w:hAnsiTheme="minorHAnsi" w:cstheme="minorHAnsi"/>
          <w:i/>
        </w:rPr>
        <w:t xml:space="preserve"> </w:t>
      </w:r>
      <w:r w:rsidR="00340E95" w:rsidRPr="003B733F">
        <w:rPr>
          <w:rStyle w:val="fontstyle01"/>
          <w:rFonts w:asciiTheme="minorHAnsi" w:hAnsiTheme="minorHAnsi" w:cstheme="minorHAnsi"/>
          <w:i/>
        </w:rPr>
        <w:t>Burmistrz Dukli</w:t>
      </w:r>
    </w:p>
    <w:p w14:paraId="604990DC" w14:textId="77777777" w:rsidR="002A1035" w:rsidRPr="003B733F" w:rsidRDefault="002A1035" w:rsidP="003B733F">
      <w:pPr>
        <w:spacing w:after="0"/>
        <w:jc w:val="both"/>
        <w:rPr>
          <w:rStyle w:val="fontstyle01"/>
          <w:rFonts w:asciiTheme="minorHAnsi" w:hAnsiTheme="minorHAnsi" w:cstheme="minorHAnsi"/>
        </w:rPr>
      </w:pPr>
    </w:p>
    <w:p w14:paraId="16B54230" w14:textId="77777777" w:rsidR="00326188" w:rsidRPr="003B733F" w:rsidRDefault="00326188" w:rsidP="003B733F">
      <w:pPr>
        <w:spacing w:after="0"/>
        <w:jc w:val="both"/>
        <w:rPr>
          <w:rStyle w:val="fontstyle01"/>
          <w:rFonts w:asciiTheme="minorHAnsi" w:hAnsiTheme="minorHAnsi" w:cstheme="minorHAnsi"/>
        </w:rPr>
      </w:pPr>
    </w:p>
    <w:p w14:paraId="0A29F245" w14:textId="77777777" w:rsidR="006E6601" w:rsidRPr="003B733F" w:rsidRDefault="006E6601" w:rsidP="003B733F">
      <w:pPr>
        <w:spacing w:after="0"/>
        <w:jc w:val="both"/>
        <w:rPr>
          <w:rFonts w:cstheme="minorHAnsi"/>
          <w:sz w:val="24"/>
          <w:szCs w:val="24"/>
        </w:rPr>
      </w:pPr>
    </w:p>
    <w:sectPr w:rsidR="006E6601" w:rsidRPr="003B733F" w:rsidSect="006E6601">
      <w:footerReference w:type="default" r:id="rId7"/>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E33E" w14:textId="77777777" w:rsidR="00DD6937" w:rsidRDefault="00DD6937" w:rsidP="00326188">
      <w:pPr>
        <w:spacing w:after="0" w:line="240" w:lineRule="auto"/>
      </w:pPr>
      <w:r>
        <w:separator/>
      </w:r>
    </w:p>
  </w:endnote>
  <w:endnote w:type="continuationSeparator" w:id="0">
    <w:p w14:paraId="6C652D6C" w14:textId="77777777" w:rsidR="00DD6937" w:rsidRDefault="00DD6937" w:rsidP="0032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DDA0" w14:textId="74B48B35" w:rsidR="00326188" w:rsidRPr="00340E95" w:rsidRDefault="00326188" w:rsidP="00326188">
    <w:pPr>
      <w:jc w:val="center"/>
      <w:rPr>
        <w:rFonts w:ascii="TimesNewRomanPSMT" w:hAnsi="TimesNewRomanPSMT"/>
        <w:color w:val="000000"/>
        <w:sz w:val="24"/>
        <w:szCs w:val="24"/>
      </w:rPr>
    </w:pPr>
    <w:r>
      <w:rPr>
        <w:rStyle w:val="fontstyle01"/>
        <w:sz w:val="20"/>
        <w:szCs w:val="20"/>
      </w:rPr>
      <w:t xml:space="preserve">Umieszczono na stronie </w:t>
    </w:r>
    <w:r>
      <w:rPr>
        <w:rStyle w:val="fontstyle01"/>
        <w:color w:val="0563C1"/>
        <w:sz w:val="20"/>
        <w:szCs w:val="20"/>
      </w:rPr>
      <w:t>https://ezamowienia.gov.pl/pl/</w:t>
    </w:r>
    <w:r>
      <w:rPr>
        <w:rStyle w:val="fontstyle01"/>
        <w:sz w:val="20"/>
        <w:szCs w:val="20"/>
      </w:rPr>
      <w:t xml:space="preserve">, </w:t>
    </w:r>
    <w:r>
      <w:rPr>
        <w:rStyle w:val="fontstyle01"/>
        <w:color w:val="0563C1"/>
        <w:sz w:val="20"/>
        <w:szCs w:val="20"/>
      </w:rPr>
      <w:t xml:space="preserve">http://bip.dukla.pl </w:t>
    </w:r>
    <w:r>
      <w:rPr>
        <w:rStyle w:val="fontstyle01"/>
        <w:sz w:val="20"/>
        <w:szCs w:val="20"/>
      </w:rPr>
      <w:t xml:space="preserve">w dniu </w:t>
    </w:r>
    <w:r w:rsidR="006E6601">
      <w:rPr>
        <w:rStyle w:val="fontstyle01"/>
        <w:sz w:val="20"/>
        <w:szCs w:val="20"/>
      </w:rPr>
      <w:t>1</w:t>
    </w:r>
    <w:r w:rsidR="003B733F">
      <w:rPr>
        <w:rStyle w:val="fontstyle01"/>
        <w:sz w:val="20"/>
        <w:szCs w:val="20"/>
      </w:rPr>
      <w:t>5</w:t>
    </w:r>
    <w:r w:rsidR="006E6601">
      <w:rPr>
        <w:rStyle w:val="fontstyle01"/>
        <w:sz w:val="20"/>
        <w:szCs w:val="20"/>
      </w:rPr>
      <w:t xml:space="preserve"> lipca </w:t>
    </w:r>
    <w:r>
      <w:rPr>
        <w:rStyle w:val="fontstyle01"/>
        <w:sz w:val="20"/>
        <w:szCs w:val="20"/>
      </w:rPr>
      <w:t xml:space="preserve"> 2025 r.</w:t>
    </w:r>
  </w:p>
  <w:p w14:paraId="15E3AB76" w14:textId="77777777" w:rsidR="00326188" w:rsidRDefault="003261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0661" w14:textId="77777777" w:rsidR="00DD6937" w:rsidRDefault="00DD6937" w:rsidP="00326188">
      <w:pPr>
        <w:spacing w:after="0" w:line="240" w:lineRule="auto"/>
      </w:pPr>
      <w:r>
        <w:separator/>
      </w:r>
    </w:p>
  </w:footnote>
  <w:footnote w:type="continuationSeparator" w:id="0">
    <w:p w14:paraId="6E3EDB2A" w14:textId="77777777" w:rsidR="00DD6937" w:rsidRDefault="00DD6937" w:rsidP="0032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635"/>
    <w:multiLevelType w:val="hybridMultilevel"/>
    <w:tmpl w:val="D1BA8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795D7C"/>
    <w:multiLevelType w:val="hybridMultilevel"/>
    <w:tmpl w:val="0812FA26"/>
    <w:lvl w:ilvl="0" w:tplc="7A72D214">
      <w:start w:val="1"/>
      <w:numFmt w:val="decimal"/>
      <w:lvlText w:val="%1."/>
      <w:lvlJc w:val="left"/>
      <w:pPr>
        <w:ind w:left="720" w:hanging="360"/>
      </w:pPr>
      <w:rPr>
        <w:rFonts w:cstheme="minorHAnsi"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B4E48"/>
    <w:multiLevelType w:val="hybridMultilevel"/>
    <w:tmpl w:val="76B0D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7379462">
    <w:abstractNumId w:val="2"/>
  </w:num>
  <w:num w:numId="2" w16cid:durableId="95518624">
    <w:abstractNumId w:val="0"/>
  </w:num>
  <w:num w:numId="3" w16cid:durableId="96974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95"/>
    <w:rsid w:val="0003634D"/>
    <w:rsid w:val="000B4E84"/>
    <w:rsid w:val="000E07B1"/>
    <w:rsid w:val="00144C36"/>
    <w:rsid w:val="001508BE"/>
    <w:rsid w:val="00191AD0"/>
    <w:rsid w:val="002244C7"/>
    <w:rsid w:val="00251612"/>
    <w:rsid w:val="00275D50"/>
    <w:rsid w:val="002A1035"/>
    <w:rsid w:val="002E59FD"/>
    <w:rsid w:val="00326188"/>
    <w:rsid w:val="00340E95"/>
    <w:rsid w:val="00363062"/>
    <w:rsid w:val="003B733F"/>
    <w:rsid w:val="003D51F3"/>
    <w:rsid w:val="00607669"/>
    <w:rsid w:val="00633415"/>
    <w:rsid w:val="006526ED"/>
    <w:rsid w:val="006E6601"/>
    <w:rsid w:val="008301C4"/>
    <w:rsid w:val="00862B6A"/>
    <w:rsid w:val="008B7601"/>
    <w:rsid w:val="00953609"/>
    <w:rsid w:val="009A6220"/>
    <w:rsid w:val="009D55F4"/>
    <w:rsid w:val="00A950E7"/>
    <w:rsid w:val="00AC7F83"/>
    <w:rsid w:val="00AD3FF2"/>
    <w:rsid w:val="00BC5AD9"/>
    <w:rsid w:val="00BC7CF6"/>
    <w:rsid w:val="00C00E9C"/>
    <w:rsid w:val="00C922AE"/>
    <w:rsid w:val="00CC0380"/>
    <w:rsid w:val="00CD53CC"/>
    <w:rsid w:val="00CE40DC"/>
    <w:rsid w:val="00D062E5"/>
    <w:rsid w:val="00D24BF4"/>
    <w:rsid w:val="00D37963"/>
    <w:rsid w:val="00DD6937"/>
    <w:rsid w:val="00DF476E"/>
    <w:rsid w:val="00E87BC5"/>
    <w:rsid w:val="00EE621C"/>
    <w:rsid w:val="00F25E50"/>
    <w:rsid w:val="00F82319"/>
    <w:rsid w:val="00F97BB1"/>
    <w:rsid w:val="00FC7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D509"/>
  <w15:chartTrackingRefBased/>
  <w15:docId w15:val="{33FBBCDD-AEFF-4BD6-AB83-318C9AD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340E95"/>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340E95"/>
    <w:rPr>
      <w:rFonts w:ascii="TimesNewRomanPS-BoldMT" w:hAnsi="TimesNewRomanPS-BoldMT" w:hint="default"/>
      <w:b/>
      <w:bCs/>
      <w:i w:val="0"/>
      <w:iCs w:val="0"/>
      <w:color w:val="000000"/>
      <w:sz w:val="24"/>
      <w:szCs w:val="24"/>
    </w:rPr>
  </w:style>
  <w:style w:type="paragraph" w:styleId="NormalnyWeb">
    <w:name w:val="Normal (Web)"/>
    <w:basedOn w:val="Normalny"/>
    <w:uiPriority w:val="99"/>
    <w:unhideWhenUsed/>
    <w:rsid w:val="00D24B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24BF4"/>
  </w:style>
  <w:style w:type="character" w:styleId="Pogrubienie">
    <w:name w:val="Strong"/>
    <w:basedOn w:val="Domylnaczcionkaakapitu"/>
    <w:uiPriority w:val="22"/>
    <w:qFormat/>
    <w:rsid w:val="00D24BF4"/>
    <w:rPr>
      <w:b/>
      <w:bCs/>
    </w:rPr>
  </w:style>
  <w:style w:type="paragraph" w:styleId="Nagwek">
    <w:name w:val="header"/>
    <w:basedOn w:val="Normalny"/>
    <w:link w:val="NagwekZnak"/>
    <w:uiPriority w:val="99"/>
    <w:unhideWhenUsed/>
    <w:rsid w:val="003261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188"/>
  </w:style>
  <w:style w:type="paragraph" w:styleId="Stopka">
    <w:name w:val="footer"/>
    <w:basedOn w:val="Normalny"/>
    <w:link w:val="StopkaZnak"/>
    <w:uiPriority w:val="99"/>
    <w:unhideWhenUsed/>
    <w:rsid w:val="003261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188"/>
  </w:style>
  <w:style w:type="paragraph" w:styleId="Akapitzlist">
    <w:name w:val="List Paragraph"/>
    <w:aliases w:val="Preambuła,L1,Numerowanie,List Paragraph,normalny tekst,CW_Lista,Wypunktowanie,Akapit z listą BS,Odstavec,wypunktowanie,List Paragraph1,Akapit z listą5,Lista 1,lp1,Kolorowa lista — akcent 11,Dot pt,F5 List Paragraph,Recommendation,BulletC"/>
    <w:basedOn w:val="Normalny"/>
    <w:link w:val="AkapitzlistZnak"/>
    <w:uiPriority w:val="34"/>
    <w:qFormat/>
    <w:rsid w:val="006E6601"/>
    <w:pPr>
      <w:ind w:left="720"/>
      <w:contextualSpacing/>
    </w:pPr>
  </w:style>
  <w:style w:type="character" w:customStyle="1" w:styleId="AkapitzlistZnak">
    <w:name w:val="Akapit z listą Znak"/>
    <w:aliases w:val="Preambuła Znak,L1 Znak,Numerowanie Znak,List Paragraph Znak,normalny tekst Znak,CW_Lista Znak,Wypunktowanie Znak,Akapit z listą BS Znak,Odstavec Znak,wypunktowanie Znak,List Paragraph1 Znak,Akapit z listą5 Znak,Lista 1 Znak,lp1 Znak"/>
    <w:link w:val="Akapitzlist"/>
    <w:uiPriority w:val="34"/>
    <w:qFormat/>
    <w:locked/>
    <w:rsid w:val="00A950E7"/>
  </w:style>
  <w:style w:type="paragraph" w:customStyle="1" w:styleId="Default">
    <w:name w:val="Default"/>
    <w:rsid w:val="00A950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11</Pages>
  <Words>4720</Words>
  <Characters>28323</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Nowak</dc:creator>
  <cp:keywords/>
  <dc:description/>
  <cp:lastModifiedBy>Joanna Nowak</cp:lastModifiedBy>
  <cp:revision>16</cp:revision>
  <cp:lastPrinted>2025-07-15T13:10:00Z</cp:lastPrinted>
  <dcterms:created xsi:type="dcterms:W3CDTF">2024-08-02T06:33:00Z</dcterms:created>
  <dcterms:modified xsi:type="dcterms:W3CDTF">2025-07-16T05:22:00Z</dcterms:modified>
</cp:coreProperties>
</file>