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D0E" w:rsidRPr="00EA1AC9" w:rsidRDefault="001E7D0E" w:rsidP="001E7D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Chyrowa</w:t>
      </w:r>
    </w:p>
    <w:p w:rsidR="001E7D0E" w:rsidRPr="00EA1AC9" w:rsidRDefault="001E7D0E" w:rsidP="001E7D0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1E7D0E" w:rsidRDefault="001E7D0E" w:rsidP="001E7D0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EA1AC9">
        <w:rPr>
          <w:rFonts w:ascii="Times New Roman" w:hAnsi="Times New Roman" w:cs="Times New Roman"/>
          <w:sz w:val="24"/>
          <w:szCs w:val="24"/>
        </w:rPr>
        <w:t xml:space="preserve">1. Sołectwo </w:t>
      </w:r>
      <w:r>
        <w:rPr>
          <w:rFonts w:ascii="Times New Roman" w:hAnsi="Times New Roman" w:cs="Times New Roman"/>
          <w:sz w:val="24"/>
          <w:szCs w:val="24"/>
        </w:rPr>
        <w:t xml:space="preserve">Chyrowa </w:t>
      </w:r>
      <w:r w:rsidRPr="00EA1AC9">
        <w:rPr>
          <w:rFonts w:ascii="Times New Roman" w:hAnsi="Times New Roman" w:cs="Times New Roman"/>
          <w:sz w:val="24"/>
          <w:szCs w:val="24"/>
        </w:rPr>
        <w:t>jest jednostką pomocniczą Gminy Dukla.</w:t>
      </w:r>
      <w:r w:rsidRPr="00EA1AC9">
        <w:rPr>
          <w:rFonts w:ascii="Times New Roman" w:hAnsi="Times New Roman" w:cs="Times New Roman"/>
          <w:sz w:val="24"/>
          <w:szCs w:val="24"/>
        </w:rPr>
        <w:br/>
        <w:t xml:space="preserve">2. Obszar sołectwa </w:t>
      </w:r>
      <w:r>
        <w:rPr>
          <w:rFonts w:ascii="Times New Roman" w:hAnsi="Times New Roman" w:cs="Times New Roman"/>
          <w:sz w:val="24"/>
          <w:szCs w:val="24"/>
        </w:rPr>
        <w:t xml:space="preserve">Chyrowa </w:t>
      </w:r>
      <w:r w:rsidRPr="00EA1AC9">
        <w:rPr>
          <w:rFonts w:ascii="Times New Roman" w:hAnsi="Times New Roman" w:cs="Times New Roman"/>
          <w:sz w:val="24"/>
          <w:szCs w:val="24"/>
        </w:rPr>
        <w:t xml:space="preserve">obejmuje teren miejscowości </w:t>
      </w:r>
      <w:r>
        <w:rPr>
          <w:rFonts w:ascii="Times New Roman" w:hAnsi="Times New Roman" w:cs="Times New Roman"/>
          <w:sz w:val="24"/>
          <w:szCs w:val="24"/>
        </w:rPr>
        <w:t xml:space="preserve">Chyrowa </w:t>
      </w:r>
      <w:r w:rsidRPr="00EA1AC9">
        <w:rPr>
          <w:rFonts w:ascii="Times New Roman" w:hAnsi="Times New Roman" w:cs="Times New Roman"/>
          <w:sz w:val="24"/>
          <w:szCs w:val="24"/>
        </w:rPr>
        <w:t xml:space="preserve">o powierzchni </w:t>
      </w:r>
      <w:r>
        <w:rPr>
          <w:rFonts w:ascii="Times New Roman" w:hAnsi="Times New Roman" w:cs="Times New Roman"/>
          <w:sz w:val="24"/>
          <w:szCs w:val="24"/>
        </w:rPr>
        <w:t xml:space="preserve">1088,18 </w:t>
      </w:r>
      <w:r w:rsidRPr="00EA1AC9">
        <w:rPr>
          <w:rFonts w:ascii="Times New Roman" w:hAnsi="Times New Roman" w:cs="Times New Roman"/>
          <w:sz w:val="24"/>
          <w:szCs w:val="24"/>
        </w:rPr>
        <w:t>ha.</w:t>
      </w:r>
      <w:r w:rsidRPr="00EA1AC9">
        <w:rPr>
          <w:rFonts w:ascii="Times New Roman" w:hAnsi="Times New Roman" w:cs="Times New Roman"/>
          <w:sz w:val="24"/>
          <w:szCs w:val="24"/>
        </w:rPr>
        <w:br/>
        <w:t xml:space="preserve">3. Siedzibą organów sołectwa jest miejscowość </w:t>
      </w:r>
      <w:r>
        <w:rPr>
          <w:rFonts w:ascii="Times New Roman" w:hAnsi="Times New Roman" w:cs="Times New Roman"/>
          <w:sz w:val="24"/>
          <w:szCs w:val="24"/>
        </w:rPr>
        <w:t>Chyrowa.</w:t>
      </w:r>
    </w:p>
    <w:p w:rsidR="001E7D0E" w:rsidRPr="00EA1AC9" w:rsidRDefault="001E7D0E" w:rsidP="001E7D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A1AC9">
        <w:rPr>
          <w:rFonts w:ascii="Times New Roman" w:hAnsi="Times New Roman" w:cs="Times New Roman"/>
          <w:sz w:val="24"/>
          <w:szCs w:val="24"/>
        </w:rPr>
        <w:t xml:space="preserve">Położenie i granice sołectwa </w:t>
      </w:r>
      <w:r>
        <w:rPr>
          <w:rFonts w:ascii="Times New Roman" w:hAnsi="Times New Roman" w:cs="Times New Roman"/>
          <w:sz w:val="24"/>
          <w:szCs w:val="24"/>
        </w:rPr>
        <w:t xml:space="preserve">Chyrowa </w:t>
      </w:r>
      <w:r w:rsidRPr="00456B23">
        <w:rPr>
          <w:rFonts w:ascii="Times New Roman" w:hAnsi="Times New Roman" w:cs="Times New Roman"/>
          <w:sz w:val="24"/>
          <w:szCs w:val="24"/>
        </w:rPr>
        <w:t>określa poniższa mapa poglądowa.</w:t>
      </w:r>
    </w:p>
    <w:p w:rsidR="001E7D0E" w:rsidRPr="00EA1AC9" w:rsidRDefault="001E7D0E" w:rsidP="001E7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7D0E" w:rsidRDefault="001E7D0E" w:rsidP="001E7D0E">
      <w:r>
        <w:rPr>
          <w:noProof/>
          <w:lang w:eastAsia="pl-PL"/>
        </w:rPr>
        <w:drawing>
          <wp:inline distT="0" distB="0" distL="0" distR="0" wp14:anchorId="404889E3" wp14:editId="39DEABFF">
            <wp:extent cx="5715000" cy="3676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D0E" w:rsidRPr="00EA1AC9" w:rsidRDefault="001E7D0E" w:rsidP="001E7D0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Pr="00EA1AC9">
        <w:rPr>
          <w:rFonts w:ascii="Times New Roman" w:hAnsi="Times New Roman" w:cs="Times New Roman"/>
          <w:sz w:val="24"/>
          <w:szCs w:val="24"/>
        </w:rPr>
        <w:t xml:space="preserve">1. Niniejszy statut określa organizację i zakres działania sołectwa </w:t>
      </w:r>
      <w:r>
        <w:rPr>
          <w:rFonts w:ascii="Times New Roman" w:hAnsi="Times New Roman" w:cs="Times New Roman"/>
          <w:sz w:val="24"/>
          <w:szCs w:val="24"/>
        </w:rPr>
        <w:t xml:space="preserve">Chyrowa </w:t>
      </w:r>
      <w:r w:rsidRPr="00EA1AC9">
        <w:rPr>
          <w:rFonts w:ascii="Times New Roman" w:hAnsi="Times New Roman" w:cs="Times New Roman"/>
          <w:sz w:val="24"/>
          <w:szCs w:val="24"/>
        </w:rPr>
        <w:t>w Gminie Dukla, zwanego dalej sołectwem, w tym: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B23">
        <w:rPr>
          <w:rFonts w:ascii="Times New Roman" w:hAnsi="Times New Roman" w:cs="Times New Roman"/>
          <w:sz w:val="24"/>
          <w:szCs w:val="24"/>
        </w:rPr>
        <w:t>sprawy wskazane</w:t>
      </w:r>
      <w:r w:rsidRPr="00EA1AC9">
        <w:rPr>
          <w:rFonts w:ascii="Times New Roman" w:hAnsi="Times New Roman" w:cs="Times New Roman"/>
          <w:sz w:val="24"/>
          <w:szCs w:val="24"/>
        </w:rPr>
        <w:t xml:space="preserve"> w art. 35 ust. 3 ustawy z 8 marc</w:t>
      </w:r>
      <w:r>
        <w:rPr>
          <w:rFonts w:ascii="Times New Roman" w:hAnsi="Times New Roman" w:cs="Times New Roman"/>
          <w:sz w:val="24"/>
          <w:szCs w:val="24"/>
        </w:rPr>
        <w:t>a 1990 r. o samorządzie gminnym;</w:t>
      </w:r>
      <w:r w:rsidRPr="00EA1AC9">
        <w:rPr>
          <w:rFonts w:ascii="Times New Roman" w:hAnsi="Times New Roman" w:cs="Times New Roman"/>
          <w:sz w:val="24"/>
          <w:szCs w:val="24"/>
        </w:rPr>
        <w:br/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 xml:space="preserve">kompetencje organów sołectwa w </w:t>
      </w:r>
      <w:r>
        <w:rPr>
          <w:rFonts w:ascii="Times New Roman" w:hAnsi="Times New Roman" w:cs="Times New Roman"/>
          <w:sz w:val="24"/>
          <w:szCs w:val="24"/>
        </w:rPr>
        <w:t>sprawach gospodarowania mieniem;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kompetencje organów sołectwa w sprawach finansowych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bookmarkStart w:id="0" w:name="_GoBack"/>
      <w:bookmarkEnd w:id="0"/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Pr="00EA1AC9">
        <w:rPr>
          <w:rFonts w:ascii="Times New Roman" w:hAnsi="Times New Roman" w:cs="Times New Roman"/>
          <w:sz w:val="24"/>
          <w:szCs w:val="24"/>
        </w:rPr>
        <w:t>minie – należ</w:t>
      </w:r>
      <w:r>
        <w:rPr>
          <w:rFonts w:ascii="Times New Roman" w:hAnsi="Times New Roman" w:cs="Times New Roman"/>
          <w:sz w:val="24"/>
          <w:szCs w:val="24"/>
        </w:rPr>
        <w:t>y przez to rozumieć Gminę Dukla;</w:t>
      </w:r>
    </w:p>
    <w:p w:rsidR="001E7D0E" w:rsidRDefault="001E7D0E" w:rsidP="001E7D0E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EA1AC9">
        <w:rPr>
          <w:rFonts w:ascii="Times New Roman" w:hAnsi="Times New Roman" w:cs="Times New Roman"/>
          <w:sz w:val="24"/>
          <w:szCs w:val="24"/>
        </w:rPr>
        <w:t>ołectwie- należy prze</w:t>
      </w:r>
      <w:r>
        <w:rPr>
          <w:rFonts w:ascii="Times New Roman" w:hAnsi="Times New Roman" w:cs="Times New Roman"/>
          <w:sz w:val="24"/>
          <w:szCs w:val="24"/>
        </w:rPr>
        <w:t>z to rozumieć sołectwo Chyrowa;</w:t>
      </w:r>
      <w:r w:rsidRPr="00EA1AC9">
        <w:rPr>
          <w:rFonts w:ascii="Times New Roman" w:hAnsi="Times New Roman" w:cs="Times New Roman"/>
          <w:sz w:val="24"/>
          <w:szCs w:val="24"/>
        </w:rPr>
        <w:br/>
        <w:t>2)</w:t>
      </w:r>
      <w:r>
        <w:rPr>
          <w:rFonts w:ascii="Times New Roman" w:hAnsi="Times New Roman" w:cs="Times New Roman"/>
          <w:sz w:val="24"/>
          <w:szCs w:val="24"/>
        </w:rPr>
        <w:t xml:space="preserve"> Statucie G</w:t>
      </w:r>
      <w:r w:rsidRPr="00EA1AC9">
        <w:rPr>
          <w:rFonts w:ascii="Times New Roman" w:hAnsi="Times New Roman" w:cs="Times New Roman"/>
          <w:sz w:val="24"/>
          <w:szCs w:val="24"/>
        </w:rPr>
        <w:t>miny – należy przez</w:t>
      </w:r>
      <w:r>
        <w:rPr>
          <w:rFonts w:ascii="Times New Roman" w:hAnsi="Times New Roman" w:cs="Times New Roman"/>
          <w:sz w:val="24"/>
          <w:szCs w:val="24"/>
        </w:rPr>
        <w:t xml:space="preserve"> to rozumieć Statut Gminy Dukla;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Radzie – należy przez t</w:t>
      </w:r>
      <w:r>
        <w:rPr>
          <w:rFonts w:ascii="Times New Roman" w:hAnsi="Times New Roman" w:cs="Times New Roman"/>
          <w:sz w:val="24"/>
          <w:szCs w:val="24"/>
        </w:rPr>
        <w:t>o rozumieć Radę Miejską w Dukli;</w:t>
      </w:r>
      <w:r w:rsidRPr="00EA1AC9">
        <w:rPr>
          <w:rFonts w:ascii="Times New Roman" w:hAnsi="Times New Roman" w:cs="Times New Roman"/>
          <w:sz w:val="24"/>
          <w:szCs w:val="24"/>
        </w:rPr>
        <w:br/>
        <w:t>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Burmistrzu – należy pr</w:t>
      </w:r>
      <w:r>
        <w:rPr>
          <w:rFonts w:ascii="Times New Roman" w:hAnsi="Times New Roman" w:cs="Times New Roman"/>
          <w:sz w:val="24"/>
          <w:szCs w:val="24"/>
        </w:rPr>
        <w:t>zez to rozumieć Burmistrza Dukli;</w:t>
      </w:r>
      <w:r w:rsidRPr="00EA1AC9">
        <w:rPr>
          <w:rFonts w:ascii="Times New Roman" w:hAnsi="Times New Roman" w:cs="Times New Roman"/>
          <w:sz w:val="24"/>
          <w:szCs w:val="24"/>
        </w:rPr>
        <w:br/>
        <w:t>5)</w:t>
      </w:r>
      <w:r>
        <w:rPr>
          <w:rFonts w:ascii="Times New Roman" w:hAnsi="Times New Roman" w:cs="Times New Roman"/>
          <w:sz w:val="24"/>
          <w:szCs w:val="24"/>
        </w:rPr>
        <w:t xml:space="preserve"> Zebraniu W</w:t>
      </w:r>
      <w:r w:rsidRPr="00EA1AC9">
        <w:rPr>
          <w:rFonts w:ascii="Times New Roman" w:hAnsi="Times New Roman" w:cs="Times New Roman"/>
          <w:sz w:val="24"/>
          <w:szCs w:val="24"/>
        </w:rPr>
        <w:t>iejskim - należy przez to rozumieć zebranie wiejskie sołec</w:t>
      </w:r>
      <w:r>
        <w:rPr>
          <w:rFonts w:ascii="Times New Roman" w:hAnsi="Times New Roman" w:cs="Times New Roman"/>
          <w:sz w:val="24"/>
          <w:szCs w:val="24"/>
        </w:rPr>
        <w:t>twa Chyrowa w Gminie Dukla;</w:t>
      </w:r>
      <w:r w:rsidRPr="00EA1AC9">
        <w:rPr>
          <w:rFonts w:ascii="Times New Roman" w:hAnsi="Times New Roman" w:cs="Times New Roman"/>
          <w:sz w:val="24"/>
          <w:szCs w:val="24"/>
        </w:rPr>
        <w:br/>
        <w:t>6)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EA1AC9">
        <w:rPr>
          <w:rFonts w:ascii="Times New Roman" w:hAnsi="Times New Roman" w:cs="Times New Roman"/>
          <w:sz w:val="24"/>
          <w:szCs w:val="24"/>
        </w:rPr>
        <w:t>ołtysie – należy przez to rozumieć org</w:t>
      </w:r>
      <w:r>
        <w:rPr>
          <w:rFonts w:ascii="Times New Roman" w:hAnsi="Times New Roman" w:cs="Times New Roman"/>
          <w:sz w:val="24"/>
          <w:szCs w:val="24"/>
        </w:rPr>
        <w:t>an wykonawczy sołectwa Chyrowa;</w:t>
      </w:r>
      <w:r w:rsidRPr="00EA1AC9">
        <w:rPr>
          <w:rFonts w:ascii="Times New Roman" w:hAnsi="Times New Roman" w:cs="Times New Roman"/>
          <w:sz w:val="24"/>
          <w:szCs w:val="24"/>
        </w:rPr>
        <w:br/>
        <w:t>7)</w:t>
      </w:r>
      <w:r>
        <w:rPr>
          <w:rFonts w:ascii="Times New Roman" w:hAnsi="Times New Roman" w:cs="Times New Roman"/>
          <w:sz w:val="24"/>
          <w:szCs w:val="24"/>
        </w:rPr>
        <w:t xml:space="preserve"> Radzie S</w:t>
      </w:r>
      <w:r w:rsidRPr="00EA1AC9">
        <w:rPr>
          <w:rFonts w:ascii="Times New Roman" w:hAnsi="Times New Roman" w:cs="Times New Roman"/>
          <w:sz w:val="24"/>
          <w:szCs w:val="24"/>
        </w:rPr>
        <w:t>ołeckiej – należy przez to rozumieć Radę Sołecką s</w:t>
      </w:r>
      <w:r>
        <w:rPr>
          <w:rFonts w:ascii="Times New Roman" w:hAnsi="Times New Roman" w:cs="Times New Roman"/>
          <w:sz w:val="24"/>
          <w:szCs w:val="24"/>
        </w:rPr>
        <w:t>ołectwa Chyrowa w Gminie Dukla;</w:t>
      </w:r>
    </w:p>
    <w:p w:rsidR="001E7D0E" w:rsidRDefault="001E7D0E" w:rsidP="001E7D0E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</w:p>
    <w:p w:rsidR="00104FCB" w:rsidRDefault="001E7D0E" w:rsidP="001E7D0E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br/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Rozdział 2.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  <w:r w:rsidR="00304AC1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8A3" w:rsidRDefault="00E058A3" w:rsidP="005A3B3B">
      <w:pPr>
        <w:spacing w:after="0" w:line="240" w:lineRule="auto"/>
      </w:pPr>
      <w:r>
        <w:separator/>
      </w:r>
    </w:p>
  </w:endnote>
  <w:endnote w:type="continuationSeparator" w:id="0">
    <w:p w:rsidR="00E058A3" w:rsidRDefault="00E058A3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8A3" w:rsidRDefault="00E058A3" w:rsidP="005A3B3B">
      <w:pPr>
        <w:spacing w:after="0" w:line="240" w:lineRule="auto"/>
      </w:pPr>
      <w:r>
        <w:separator/>
      </w:r>
    </w:p>
  </w:footnote>
  <w:footnote w:type="continuationSeparator" w:id="0">
    <w:p w:rsidR="00E058A3" w:rsidRDefault="00E058A3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0E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4B92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D3032"/>
    <w:rsid w:val="00DF1723"/>
    <w:rsid w:val="00E058A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7D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58E7B-1535-45A0-9006-C6B5775F3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4056</Words>
  <Characters>24338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21</cp:revision>
  <cp:lastPrinted>2018-10-15T08:26:00Z</cp:lastPrinted>
  <dcterms:created xsi:type="dcterms:W3CDTF">2018-10-17T08:14:00Z</dcterms:created>
  <dcterms:modified xsi:type="dcterms:W3CDTF">2018-12-17T13:10:00Z</dcterms:modified>
</cp:coreProperties>
</file>