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BC" w:rsidRDefault="00560EBC" w:rsidP="00560EB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Myszkowskie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60EBC" w:rsidRDefault="00560EBC" w:rsidP="00560E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Myszkowskie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Myszkowskie obejmuje teren miejscowości Myszkowskie o powierzchni 130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Myszkowskie.</w:t>
      </w:r>
    </w:p>
    <w:p w:rsidR="00560EBC" w:rsidRDefault="00560EBC" w:rsidP="00560E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Myszkowskie określa poniższa mapa poglądowa.</w:t>
      </w:r>
    </w:p>
    <w:p w:rsidR="00560EBC" w:rsidRDefault="00560EBC" w:rsidP="00560E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EBC" w:rsidRDefault="00560EBC" w:rsidP="00560EBC">
      <w:r>
        <w:rPr>
          <w:noProof/>
          <w:lang w:eastAsia="pl-PL"/>
        </w:rPr>
        <w:drawing>
          <wp:inline distT="0" distB="0" distL="0" distR="0" wp14:anchorId="3CC7DEE0" wp14:editId="5ABE1782">
            <wp:extent cx="5760720" cy="4143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EBC" w:rsidRDefault="00560EBC" w:rsidP="00560E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Myszkowskie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560EBC" w:rsidRDefault="00560EBC" w:rsidP="00560E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Myszkowskie;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Myszkowskie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Myszkowskie;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7) Radzie Sołeckiej – należy przez to rozumieć Radę Sołecką sołectwa Myszkowskie w Gminie Dukla;</w:t>
      </w:r>
    </w:p>
    <w:p w:rsidR="00560EBC" w:rsidRDefault="00560EBC" w:rsidP="00560E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04FCB" w:rsidRDefault="00560EBC" w:rsidP="00560EB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</w:t>
      </w:r>
      <w:r>
        <w:rPr>
          <w:rFonts w:ascii="Times New Roman" w:hAnsi="Times New Roman" w:cs="Times New Roman"/>
          <w:sz w:val="24"/>
          <w:szCs w:val="24"/>
        </w:rPr>
        <w:lastRenderedPageBreak/>
        <w:t>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>spostrzeżonych lub zgłoszonych zakłóceń w funkcjonowaniu urządzeń użyteczności 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wyborców stale zamieszkałych w sołectwie. Zgłoszenie powinno ponadto </w:t>
      </w:r>
      <w:r w:rsidR="002F264D" w:rsidRPr="00F60EAD">
        <w:rPr>
          <w:rFonts w:ascii="Times New Roman" w:hAnsi="Times New Roman" w:cs="Times New Roman"/>
          <w:sz w:val="24"/>
          <w:szCs w:val="24"/>
        </w:rPr>
        <w:lastRenderedPageBreak/>
        <w:t>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  <w:r w:rsidR="00304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1E9" w:rsidRDefault="009801E9" w:rsidP="005A3B3B">
      <w:pPr>
        <w:spacing w:after="0" w:line="240" w:lineRule="auto"/>
      </w:pPr>
      <w:r>
        <w:separator/>
      </w:r>
    </w:p>
  </w:endnote>
  <w:endnote w:type="continuationSeparator" w:id="0">
    <w:p w:rsidR="009801E9" w:rsidRDefault="009801E9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1E9" w:rsidRDefault="009801E9" w:rsidP="005A3B3B">
      <w:pPr>
        <w:spacing w:after="0" w:line="240" w:lineRule="auto"/>
      </w:pPr>
      <w:r>
        <w:separator/>
      </w:r>
    </w:p>
  </w:footnote>
  <w:footnote w:type="continuationSeparator" w:id="0">
    <w:p w:rsidR="009801E9" w:rsidRDefault="009801E9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60EBC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4B92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801E9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EB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AA96-F10B-4257-A47B-D382EFD3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4062</Words>
  <Characters>24373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21</cp:revision>
  <cp:lastPrinted>2018-10-15T08:26:00Z</cp:lastPrinted>
  <dcterms:created xsi:type="dcterms:W3CDTF">2018-10-17T08:14:00Z</dcterms:created>
  <dcterms:modified xsi:type="dcterms:W3CDTF">2018-12-17T13:33:00Z</dcterms:modified>
</cp:coreProperties>
</file>